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4.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Pr="00062EE3" w:rsidR="00014566" w:rsidP="00062EE3" w:rsidRDefault="00014566">
      <w:pPr>
        <w:pStyle w:val="ECHRDecisionBody"/>
        <w:jc w:val="center"/>
      </w:pPr>
      <w:bookmarkStart w:name="_GoBack" w:id="0"/>
      <w:bookmarkEnd w:id="0"/>
    </w:p>
    <w:p w:rsidRPr="00062EE3" w:rsidR="000C2D8A" w:rsidP="00062EE3" w:rsidRDefault="000C2D8A">
      <w:pPr>
        <w:pStyle w:val="ECHRDecisionBody"/>
        <w:jc w:val="center"/>
      </w:pPr>
    </w:p>
    <w:p w:rsidRPr="00062EE3" w:rsidR="000C2D8A" w:rsidP="00062EE3" w:rsidRDefault="000C2D8A">
      <w:pPr>
        <w:pStyle w:val="ECHRDecisionBody"/>
        <w:jc w:val="center"/>
      </w:pPr>
    </w:p>
    <w:p w:rsidRPr="00062EE3" w:rsidR="00014566" w:rsidP="00062EE3" w:rsidRDefault="000C68C6">
      <w:pPr>
        <w:jc w:val="center"/>
      </w:pPr>
      <w:r w:rsidRPr="00062EE3">
        <w:t>SECOND SECTION</w:t>
      </w:r>
    </w:p>
    <w:p w:rsidRPr="00062EE3" w:rsidR="00014566" w:rsidP="00062EE3" w:rsidRDefault="00014566">
      <w:pPr>
        <w:jc w:val="center"/>
      </w:pPr>
    </w:p>
    <w:p w:rsidRPr="00062EE3" w:rsidR="000C2D8A" w:rsidP="00062EE3" w:rsidRDefault="000C2D8A">
      <w:pPr>
        <w:jc w:val="center"/>
      </w:pPr>
    </w:p>
    <w:p w:rsidRPr="00062EE3" w:rsidR="000C2D8A" w:rsidP="00062EE3" w:rsidRDefault="000C2D8A">
      <w:pPr>
        <w:jc w:val="center"/>
      </w:pPr>
    </w:p>
    <w:p w:rsidRPr="00062EE3" w:rsidR="000C2D8A" w:rsidP="00062EE3" w:rsidRDefault="000C2D8A">
      <w:pPr>
        <w:jc w:val="center"/>
      </w:pPr>
    </w:p>
    <w:p w:rsidRPr="00062EE3" w:rsidR="000C2D8A" w:rsidP="00062EE3" w:rsidRDefault="000C2D8A">
      <w:pPr>
        <w:jc w:val="center"/>
      </w:pPr>
    </w:p>
    <w:p w:rsidRPr="00062EE3" w:rsidR="000C2D8A" w:rsidP="00062EE3" w:rsidRDefault="000C2D8A">
      <w:pPr>
        <w:jc w:val="center"/>
      </w:pPr>
    </w:p>
    <w:p w:rsidRPr="00062EE3" w:rsidR="00014566" w:rsidP="00062EE3" w:rsidRDefault="00014566">
      <w:pPr>
        <w:jc w:val="center"/>
        <w:rPr>
          <w:b/>
        </w:rPr>
      </w:pPr>
      <w:bookmarkStart w:name="To" w:id="1"/>
      <w:r w:rsidRPr="00062EE3">
        <w:rPr>
          <w:b/>
        </w:rPr>
        <w:t xml:space="preserve">CASE OF </w:t>
      </w:r>
      <w:bookmarkEnd w:id="1"/>
      <w:r w:rsidRPr="00062EE3" w:rsidR="000C68C6">
        <w:rPr>
          <w:b/>
        </w:rPr>
        <w:t>CAN v. TURKEY</w:t>
      </w:r>
    </w:p>
    <w:p w:rsidRPr="00062EE3" w:rsidR="00014566" w:rsidP="00062EE3" w:rsidRDefault="00014566">
      <w:pPr>
        <w:jc w:val="center"/>
      </w:pPr>
    </w:p>
    <w:p w:rsidRPr="00062EE3" w:rsidR="00014566" w:rsidP="00062EE3" w:rsidRDefault="00014566">
      <w:pPr>
        <w:jc w:val="center"/>
        <w:rPr>
          <w:i/>
        </w:rPr>
      </w:pPr>
      <w:r w:rsidRPr="00062EE3">
        <w:rPr>
          <w:i/>
        </w:rPr>
        <w:t>(</w:t>
      </w:r>
      <w:r w:rsidRPr="00062EE3" w:rsidR="000C68C6">
        <w:rPr>
          <w:i/>
        </w:rPr>
        <w:t>Application no. 2437/08</w:t>
      </w:r>
      <w:r w:rsidRPr="00062EE3">
        <w:rPr>
          <w:i/>
        </w:rPr>
        <w:t>)</w:t>
      </w:r>
    </w:p>
    <w:p w:rsidRPr="00062EE3" w:rsidR="00014566" w:rsidP="00062EE3" w:rsidRDefault="00014566">
      <w:pPr>
        <w:jc w:val="center"/>
      </w:pPr>
    </w:p>
    <w:p w:rsidRPr="00062EE3" w:rsidR="00014566" w:rsidP="00062EE3" w:rsidRDefault="00014566">
      <w:pPr>
        <w:jc w:val="center"/>
      </w:pPr>
    </w:p>
    <w:p w:rsidRPr="00062EE3" w:rsidR="00014566" w:rsidP="00062EE3" w:rsidRDefault="00014566">
      <w:pPr>
        <w:jc w:val="center"/>
      </w:pPr>
    </w:p>
    <w:p w:rsidRPr="00062EE3" w:rsidR="00062EE3" w:rsidP="00062EE3" w:rsidRDefault="00062EE3">
      <w:pPr>
        <w:jc w:val="center"/>
      </w:pPr>
    </w:p>
    <w:p w:rsidRPr="00062EE3" w:rsidR="00062EE3" w:rsidP="00062EE3" w:rsidRDefault="00062EE3">
      <w:pPr>
        <w:jc w:val="center"/>
      </w:pPr>
    </w:p>
    <w:p w:rsidRPr="00062EE3" w:rsidR="00062EE3" w:rsidP="00062EE3" w:rsidRDefault="00062EE3">
      <w:pPr>
        <w:jc w:val="center"/>
      </w:pPr>
    </w:p>
    <w:p w:rsidRPr="00062EE3" w:rsidR="00062EE3" w:rsidP="00062EE3" w:rsidRDefault="00062EE3">
      <w:pPr>
        <w:jc w:val="center"/>
      </w:pPr>
    </w:p>
    <w:p w:rsidRPr="00062EE3" w:rsidR="00014566" w:rsidP="00062EE3" w:rsidRDefault="00014566">
      <w:pPr>
        <w:jc w:val="center"/>
      </w:pPr>
    </w:p>
    <w:p w:rsidRPr="00062EE3" w:rsidR="00465C64" w:rsidP="00062EE3" w:rsidRDefault="00465C64">
      <w:pPr>
        <w:jc w:val="center"/>
        <w:outlineLvl w:val="0"/>
      </w:pPr>
      <w:r w:rsidRPr="00062EE3">
        <w:t>JUDGMENT</w:t>
      </w:r>
    </w:p>
    <w:p w:rsidRPr="00062EE3" w:rsidR="00465C64" w:rsidP="00062EE3" w:rsidRDefault="00465C64">
      <w:pPr>
        <w:jc w:val="center"/>
      </w:pPr>
    </w:p>
    <w:p w:rsidRPr="00062EE3" w:rsidR="00465C64" w:rsidP="00062EE3" w:rsidRDefault="00465C64">
      <w:pPr>
        <w:jc w:val="center"/>
        <w:rPr>
          <w:i/>
        </w:rPr>
      </w:pPr>
    </w:p>
    <w:p w:rsidRPr="00062EE3" w:rsidR="00062EE3" w:rsidP="00062EE3" w:rsidRDefault="00062EE3">
      <w:pPr>
        <w:jc w:val="center"/>
        <w:rPr>
          <w:i/>
        </w:rPr>
      </w:pPr>
    </w:p>
    <w:p w:rsidRPr="00062EE3" w:rsidR="00062EE3" w:rsidP="00062EE3" w:rsidRDefault="00062EE3">
      <w:pPr>
        <w:jc w:val="center"/>
        <w:rPr>
          <w:i/>
        </w:rPr>
      </w:pPr>
    </w:p>
    <w:p w:rsidRPr="00062EE3" w:rsidR="00062EE3" w:rsidP="00062EE3" w:rsidRDefault="00062EE3">
      <w:pPr>
        <w:jc w:val="center"/>
        <w:rPr>
          <w:i/>
        </w:rPr>
      </w:pPr>
    </w:p>
    <w:p w:rsidRPr="00062EE3" w:rsidR="00062EE3" w:rsidP="00062EE3" w:rsidRDefault="00062EE3">
      <w:pPr>
        <w:jc w:val="center"/>
        <w:rPr>
          <w:i/>
        </w:rPr>
      </w:pPr>
    </w:p>
    <w:p w:rsidRPr="00062EE3" w:rsidR="00465C64" w:rsidP="00062EE3" w:rsidRDefault="00465C64">
      <w:pPr>
        <w:jc w:val="center"/>
        <w:outlineLvl w:val="0"/>
      </w:pPr>
      <w:r w:rsidRPr="00062EE3">
        <w:t>STRASBOURG</w:t>
      </w:r>
    </w:p>
    <w:p w:rsidRPr="00062EE3" w:rsidR="00465C64" w:rsidP="00062EE3" w:rsidRDefault="00465C64">
      <w:pPr>
        <w:jc w:val="center"/>
      </w:pPr>
    </w:p>
    <w:p w:rsidRPr="00062EE3" w:rsidR="00465C64" w:rsidP="00062EE3" w:rsidRDefault="00465C64">
      <w:pPr>
        <w:jc w:val="center"/>
      </w:pPr>
      <w:r w:rsidRPr="00062EE3">
        <w:t>25 September 2018</w:t>
      </w:r>
    </w:p>
    <w:p w:rsidRPr="00062EE3" w:rsidR="000C2D8A" w:rsidP="00062EE3" w:rsidRDefault="000C2D8A">
      <w:pPr>
        <w:pStyle w:val="ECHRPara"/>
        <w:ind w:firstLine="0"/>
        <w:jc w:val="center"/>
      </w:pPr>
    </w:p>
    <w:p w:rsidRPr="00062EE3" w:rsidR="000C2D8A" w:rsidP="00062EE3" w:rsidRDefault="000C2D8A">
      <w:pPr>
        <w:pStyle w:val="ECHRPara"/>
        <w:ind w:firstLine="0"/>
        <w:jc w:val="center"/>
      </w:pPr>
    </w:p>
    <w:p w:rsidRPr="00062EE3" w:rsidR="000C2D8A" w:rsidP="00062EE3" w:rsidRDefault="000C2D8A">
      <w:pPr>
        <w:pStyle w:val="ECHRPara"/>
        <w:ind w:firstLine="0"/>
        <w:jc w:val="center"/>
      </w:pPr>
    </w:p>
    <w:p w:rsidRPr="00062EE3" w:rsidR="000C2D8A" w:rsidP="00062EE3" w:rsidRDefault="000C2D8A">
      <w:pPr>
        <w:pStyle w:val="ECHRPara"/>
        <w:ind w:firstLine="0"/>
        <w:jc w:val="center"/>
      </w:pPr>
    </w:p>
    <w:p w:rsidRPr="00062EE3" w:rsidR="000C2D8A" w:rsidP="00062EE3" w:rsidRDefault="000C2D8A">
      <w:pPr>
        <w:pStyle w:val="ECHRPara"/>
        <w:ind w:firstLine="0"/>
        <w:jc w:val="center"/>
      </w:pPr>
    </w:p>
    <w:p w:rsidRPr="00062EE3" w:rsidR="000C2D8A" w:rsidP="00062EE3" w:rsidRDefault="000C2D8A">
      <w:pPr>
        <w:pStyle w:val="ECHRPara"/>
        <w:ind w:firstLine="0"/>
        <w:jc w:val="center"/>
      </w:pPr>
    </w:p>
    <w:p w:rsidRPr="00062EE3" w:rsidR="00ED79C9" w:rsidP="00062EE3" w:rsidRDefault="000C2D8A">
      <w:pPr>
        <w:pStyle w:val="JuCase"/>
        <w:ind w:firstLine="0"/>
        <w:rPr>
          <w:b w:val="0"/>
          <w:bCs/>
        </w:rPr>
      </w:pPr>
      <w:r w:rsidRPr="00062EE3">
        <w:rPr>
          <w:b w:val="0"/>
          <w:bCs/>
          <w:i/>
          <w:sz w:val="22"/>
        </w:rPr>
        <w:t>This judgment is final but it may be subject to editorial revision</w:t>
      </w:r>
    </w:p>
    <w:p w:rsidRPr="00062EE3" w:rsidR="000C2D8A" w:rsidP="00062EE3" w:rsidRDefault="000C2D8A">
      <w:pPr>
        <w:pStyle w:val="JuCase"/>
        <w:sectPr w:rsidRPr="00062EE3" w:rsidR="000C2D8A" w:rsidSect="000C2D8A">
          <w:headerReference w:type="default" r:id="rId8"/>
          <w:headerReference w:type="first" r:id="rId9"/>
          <w:footerReference w:type="first" r:id="rId10"/>
          <w:footnotePr>
            <w:numRestart w:val="eachSect"/>
          </w:footnotePr>
          <w:pgSz w:w="11906" w:h="16838" w:code="9"/>
          <w:pgMar w:top="2274" w:right="2274" w:bottom="2274" w:left="2274" w:header="1701" w:footer="720" w:gutter="0"/>
          <w:pgNumType w:start="1"/>
          <w:cols w:space="720"/>
          <w:titlePg/>
          <w:docGrid w:linePitch="326"/>
        </w:sectPr>
      </w:pPr>
    </w:p>
    <w:p w:rsidRPr="00062EE3" w:rsidR="00465C64" w:rsidP="00062EE3" w:rsidRDefault="00465C64">
      <w:pPr>
        <w:pStyle w:val="JuCase"/>
      </w:pPr>
      <w:r w:rsidRPr="00062EE3">
        <w:t>In the case of Can v. Turkey,</w:t>
      </w:r>
    </w:p>
    <w:p w:rsidRPr="00062EE3" w:rsidR="00014566" w:rsidP="00062EE3" w:rsidRDefault="00014566">
      <w:pPr>
        <w:pStyle w:val="ECHRPara"/>
      </w:pPr>
      <w:r w:rsidRPr="00062EE3">
        <w:t>The European Court of Human Rights (</w:t>
      </w:r>
      <w:r w:rsidRPr="00062EE3" w:rsidR="000C68C6">
        <w:t>Second Section</w:t>
      </w:r>
      <w:r w:rsidRPr="00062EE3">
        <w:t xml:space="preserve">), sitting as a </w:t>
      </w:r>
      <w:r w:rsidRPr="00062EE3" w:rsidR="000C68C6">
        <w:t>Committee</w:t>
      </w:r>
      <w:r w:rsidRPr="00062EE3">
        <w:t xml:space="preserve"> composed of:</w:t>
      </w:r>
    </w:p>
    <w:p w:rsidRPr="00062EE3" w:rsidR="00014566" w:rsidP="00062EE3" w:rsidRDefault="000C2D8A">
      <w:pPr>
        <w:pStyle w:val="ECHRDecisionBody"/>
      </w:pPr>
      <w:r w:rsidRPr="00062EE3">
        <w:tab/>
        <w:t>Ledi Bianku,</w:t>
      </w:r>
      <w:r w:rsidRPr="00062EE3">
        <w:rPr>
          <w:i/>
        </w:rPr>
        <w:t xml:space="preserve"> President,</w:t>
      </w:r>
      <w:r w:rsidRPr="00062EE3">
        <w:rPr>
          <w:i/>
        </w:rPr>
        <w:br/>
      </w:r>
      <w:r w:rsidRPr="00062EE3">
        <w:tab/>
        <w:t xml:space="preserve">Jon </w:t>
      </w:r>
      <w:proofErr w:type="spellStart"/>
      <w:r w:rsidRPr="00062EE3">
        <w:t>Fridrik</w:t>
      </w:r>
      <w:proofErr w:type="spellEnd"/>
      <w:r w:rsidRPr="00062EE3">
        <w:t xml:space="preserve"> </w:t>
      </w:r>
      <w:proofErr w:type="spellStart"/>
      <w:r w:rsidRPr="00062EE3">
        <w:t>Kjølbro</w:t>
      </w:r>
      <w:proofErr w:type="spellEnd"/>
      <w:r w:rsidRPr="00062EE3">
        <w:t>,</w:t>
      </w:r>
      <w:r w:rsidRPr="00062EE3">
        <w:rPr>
          <w:i/>
        </w:rPr>
        <w:br/>
      </w:r>
      <w:r w:rsidRPr="00062EE3">
        <w:tab/>
        <w:t xml:space="preserve">Ivana </w:t>
      </w:r>
      <w:proofErr w:type="spellStart"/>
      <w:r w:rsidRPr="00062EE3">
        <w:t>Jelić</w:t>
      </w:r>
      <w:proofErr w:type="spellEnd"/>
      <w:r w:rsidRPr="00062EE3">
        <w:t>,</w:t>
      </w:r>
      <w:r w:rsidRPr="00062EE3">
        <w:rPr>
          <w:i/>
        </w:rPr>
        <w:t xml:space="preserve"> judges,</w:t>
      </w:r>
      <w:r w:rsidRPr="00062EE3" w:rsidR="00014566">
        <w:rPr>
          <w:szCs w:val="24"/>
        </w:rPr>
        <w:br/>
      </w:r>
      <w:r w:rsidRPr="00062EE3" w:rsidR="00014566">
        <w:t xml:space="preserve">and </w:t>
      </w:r>
      <w:r w:rsidRPr="00062EE3" w:rsidR="000C68C6">
        <w:t>Hasan Bakırcı</w:t>
      </w:r>
      <w:r w:rsidRPr="00062EE3" w:rsidR="00014566">
        <w:t xml:space="preserve">, </w:t>
      </w:r>
      <w:r w:rsidRPr="00062EE3" w:rsidR="000C68C6">
        <w:rPr>
          <w:i/>
        </w:rPr>
        <w:t xml:space="preserve">Deputy Section </w:t>
      </w:r>
      <w:r w:rsidRPr="00062EE3" w:rsidR="000C68C6">
        <w:rPr>
          <w:i/>
          <w:iCs/>
        </w:rPr>
        <w:t>Registrar</w:t>
      </w:r>
      <w:r w:rsidRPr="00062EE3" w:rsidR="00014566">
        <w:rPr>
          <w:i/>
        </w:rPr>
        <w:t>,</w:t>
      </w:r>
    </w:p>
    <w:p w:rsidRPr="00062EE3" w:rsidR="00014566" w:rsidP="00062EE3" w:rsidRDefault="00014566">
      <w:pPr>
        <w:pStyle w:val="ECHRPara"/>
      </w:pPr>
      <w:r w:rsidRPr="00062EE3">
        <w:t xml:space="preserve">Having deliberated in private on </w:t>
      </w:r>
      <w:r w:rsidRPr="00062EE3" w:rsidR="000C2D8A">
        <w:t>4 September 2018</w:t>
      </w:r>
      <w:r w:rsidRPr="00062EE3">
        <w:t>,</w:t>
      </w:r>
    </w:p>
    <w:p w:rsidRPr="00062EE3" w:rsidR="00014566" w:rsidP="00062EE3" w:rsidRDefault="00014566">
      <w:pPr>
        <w:pStyle w:val="ECHRPara"/>
      </w:pPr>
      <w:r w:rsidRPr="00062EE3">
        <w:t>Delivers the following judgment, which was adopted on that date:</w:t>
      </w:r>
    </w:p>
    <w:p w:rsidRPr="00062EE3" w:rsidR="00014566" w:rsidP="00062EE3" w:rsidRDefault="00014566">
      <w:pPr>
        <w:pStyle w:val="ECHRTitle1"/>
      </w:pPr>
      <w:r w:rsidRPr="00062EE3">
        <w:t>PROCEDURE</w:t>
      </w:r>
    </w:p>
    <w:p w:rsidRPr="00062EE3" w:rsidR="00D861E6" w:rsidP="00062EE3" w:rsidRDefault="000C68C6">
      <w:pPr>
        <w:pStyle w:val="ECHRPara"/>
      </w:pPr>
      <w:r w:rsidRPr="00062EE3">
        <w:fldChar w:fldCharType="begin"/>
      </w:r>
      <w:r w:rsidRPr="00062EE3">
        <w:instrText xml:space="preserve"> SEQ level0 \*arabic </w:instrText>
      </w:r>
      <w:r w:rsidRPr="00062EE3">
        <w:fldChar w:fldCharType="separate"/>
      </w:r>
      <w:r w:rsidRPr="00062EE3" w:rsidR="00062EE3">
        <w:rPr>
          <w:noProof/>
        </w:rPr>
        <w:t>1</w:t>
      </w:r>
      <w:r w:rsidRPr="00062EE3">
        <w:fldChar w:fldCharType="end"/>
      </w:r>
      <w:r w:rsidRPr="00062EE3" w:rsidR="00014566">
        <w:t xml:space="preserve">.  The case originated in </w:t>
      </w:r>
      <w:r w:rsidRPr="00062EE3">
        <w:t>an application (no. 2437/08)</w:t>
      </w:r>
      <w:r w:rsidRPr="00062EE3" w:rsidR="00014566">
        <w:t xml:space="preserve"> against </w:t>
      </w:r>
      <w:r w:rsidRPr="00062EE3">
        <w:t>the Republic of Turkey</w:t>
      </w:r>
      <w:r w:rsidRPr="00062EE3" w:rsidR="00014566">
        <w:t xml:space="preserve"> lodged with the </w:t>
      </w:r>
      <w:r w:rsidRPr="00062EE3">
        <w:t>Court under Article 34</w:t>
      </w:r>
      <w:r w:rsidRPr="00062EE3" w:rsidR="00014566">
        <w:t xml:space="preserve"> of the Convention for the Protection of Human Rights and Fundamental Freedoms (“the Convention”) by </w:t>
      </w:r>
      <w:r w:rsidRPr="00062EE3">
        <w:t xml:space="preserve">a Turkish national, Ms </w:t>
      </w:r>
      <w:proofErr w:type="spellStart"/>
      <w:r w:rsidRPr="00062EE3">
        <w:t>Zeliha</w:t>
      </w:r>
      <w:proofErr w:type="spellEnd"/>
      <w:r w:rsidRPr="00062EE3">
        <w:t xml:space="preserve"> </w:t>
      </w:r>
      <w:proofErr w:type="spellStart"/>
      <w:r w:rsidRPr="00062EE3">
        <w:t>Eylem</w:t>
      </w:r>
      <w:proofErr w:type="spellEnd"/>
      <w:r w:rsidRPr="00062EE3">
        <w:t xml:space="preserve"> Can (“the applicant”), on 4 January 2008</w:t>
      </w:r>
      <w:r w:rsidRPr="00062EE3" w:rsidR="00014566">
        <w:t>.</w:t>
      </w:r>
    </w:p>
    <w:p w:rsidRPr="00062EE3" w:rsidR="00014566" w:rsidP="00062EE3" w:rsidRDefault="000C68C6">
      <w:pPr>
        <w:pStyle w:val="ECHRPara"/>
      </w:pPr>
      <w:r w:rsidRPr="00062EE3">
        <w:fldChar w:fldCharType="begin"/>
      </w:r>
      <w:r w:rsidRPr="00062EE3">
        <w:instrText xml:space="preserve"> SEQ level0 \*arabic </w:instrText>
      </w:r>
      <w:r w:rsidRPr="00062EE3">
        <w:fldChar w:fldCharType="separate"/>
      </w:r>
      <w:r w:rsidRPr="00062EE3" w:rsidR="00062EE3">
        <w:rPr>
          <w:noProof/>
        </w:rPr>
        <w:t>2</w:t>
      </w:r>
      <w:r w:rsidRPr="00062EE3">
        <w:fldChar w:fldCharType="end"/>
      </w:r>
      <w:r w:rsidRPr="00062EE3" w:rsidR="00014566">
        <w:t>.  </w:t>
      </w:r>
      <w:r w:rsidRPr="00062EE3">
        <w:t xml:space="preserve">The applicant was represented by Mr Y. </w:t>
      </w:r>
      <w:proofErr w:type="spellStart"/>
      <w:r w:rsidRPr="00062EE3">
        <w:t>Alataş</w:t>
      </w:r>
      <w:proofErr w:type="spellEnd"/>
      <w:r w:rsidRPr="00062EE3">
        <w:t xml:space="preserve">, a lawyer practising in Ankara. </w:t>
      </w:r>
      <w:r w:rsidRPr="00062EE3" w:rsidR="00014566">
        <w:t xml:space="preserve">The </w:t>
      </w:r>
      <w:r w:rsidRPr="00062EE3">
        <w:t>Turkish</w:t>
      </w:r>
      <w:r w:rsidRPr="00062EE3" w:rsidR="00014566">
        <w:t xml:space="preserve"> Government (“the Government”) w</w:t>
      </w:r>
      <w:r w:rsidRPr="00062EE3">
        <w:t>ere represented by their Agent.</w:t>
      </w:r>
    </w:p>
    <w:p w:rsidRPr="00062EE3" w:rsidR="00014566" w:rsidP="00062EE3" w:rsidRDefault="000C68C6">
      <w:pPr>
        <w:pStyle w:val="ECHRPara"/>
      </w:pPr>
      <w:r w:rsidRPr="00062EE3">
        <w:fldChar w:fldCharType="begin"/>
      </w:r>
      <w:r w:rsidRPr="00062EE3">
        <w:instrText xml:space="preserve"> SEQ level0 \*arabic </w:instrText>
      </w:r>
      <w:r w:rsidRPr="00062EE3">
        <w:fldChar w:fldCharType="separate"/>
      </w:r>
      <w:r w:rsidRPr="00062EE3" w:rsidR="00062EE3">
        <w:rPr>
          <w:noProof/>
        </w:rPr>
        <w:t>3</w:t>
      </w:r>
      <w:r w:rsidRPr="00062EE3">
        <w:fldChar w:fldCharType="end"/>
      </w:r>
      <w:r w:rsidRPr="00062EE3" w:rsidR="00014566">
        <w:t>.  </w:t>
      </w:r>
      <w:r w:rsidRPr="00062EE3">
        <w:t xml:space="preserve">On </w:t>
      </w:r>
      <w:r w:rsidRPr="00062EE3">
        <w:rPr>
          <w:szCs w:val="24"/>
        </w:rPr>
        <w:t>6 January 2014</w:t>
      </w:r>
      <w:r w:rsidRPr="00062EE3" w:rsidR="00014566">
        <w:t xml:space="preserve"> the </w:t>
      </w:r>
      <w:r w:rsidRPr="00062EE3">
        <w:t>complaint concerning the applicant</w:t>
      </w:r>
      <w:r w:rsidRPr="00062EE3" w:rsidR="00062EE3">
        <w:t>’</w:t>
      </w:r>
      <w:r w:rsidRPr="00062EE3">
        <w:t>s right not to be subjected to discrimination under Article 14 of the Convention, in conjunction with Article 8, was communicated to the Government and the remainder of the application was declared inadmissible</w:t>
      </w:r>
      <w:r w:rsidRPr="00062EE3">
        <w:rPr>
          <w:szCs w:val="24"/>
        </w:rPr>
        <w:t xml:space="preserve"> </w:t>
      </w:r>
      <w:r w:rsidRPr="00062EE3">
        <w:t>pursuant to Rule</w:t>
      </w:r>
      <w:r w:rsidRPr="00062EE3" w:rsidR="00AD5398">
        <w:t> </w:t>
      </w:r>
      <w:r w:rsidRPr="00062EE3">
        <w:t>54</w:t>
      </w:r>
      <w:r w:rsidRPr="00062EE3" w:rsidR="00AD5398">
        <w:t> </w:t>
      </w:r>
      <w:r w:rsidRPr="00062EE3">
        <w:t>§</w:t>
      </w:r>
      <w:r w:rsidRPr="00062EE3" w:rsidR="00AD5398">
        <w:t> </w:t>
      </w:r>
      <w:r w:rsidRPr="00062EE3">
        <w:t>3 of the Rules of Court</w:t>
      </w:r>
      <w:r w:rsidRPr="00062EE3" w:rsidR="007509D5">
        <w:t>.</w:t>
      </w:r>
    </w:p>
    <w:p w:rsidRPr="00062EE3" w:rsidR="00014566" w:rsidP="00062EE3" w:rsidRDefault="00014566">
      <w:pPr>
        <w:pStyle w:val="ECHRTitle1"/>
      </w:pPr>
      <w:r w:rsidRPr="00062EE3">
        <w:t>THE FACTS</w:t>
      </w:r>
    </w:p>
    <w:p w:rsidRPr="00062EE3" w:rsidR="00014566" w:rsidP="00062EE3" w:rsidRDefault="00014566">
      <w:pPr>
        <w:pStyle w:val="ECHRHeading1"/>
      </w:pPr>
      <w:r w:rsidRPr="00062EE3">
        <w:t>I.  THE CIRCUMSTANCES OF THE CASE</w:t>
      </w:r>
    </w:p>
    <w:p w:rsidRPr="00062EE3" w:rsidR="00014566" w:rsidP="00062EE3" w:rsidRDefault="00504134">
      <w:pPr>
        <w:pStyle w:val="ECHRPara"/>
      </w:pPr>
      <w:r w:rsidRPr="00062EE3">
        <w:fldChar w:fldCharType="begin"/>
      </w:r>
      <w:r w:rsidRPr="00062EE3">
        <w:instrText xml:space="preserve"> SEQ level0 \*arabic </w:instrText>
      </w:r>
      <w:r w:rsidRPr="00062EE3">
        <w:fldChar w:fldCharType="separate"/>
      </w:r>
      <w:r w:rsidRPr="00062EE3" w:rsidR="00062EE3">
        <w:rPr>
          <w:noProof/>
        </w:rPr>
        <w:t>4</w:t>
      </w:r>
      <w:r w:rsidRPr="00062EE3">
        <w:fldChar w:fldCharType="end"/>
      </w:r>
      <w:r w:rsidRPr="00062EE3">
        <w:t>.  </w:t>
      </w:r>
      <w:r w:rsidRPr="00062EE3" w:rsidR="00014566">
        <w:t xml:space="preserve">The </w:t>
      </w:r>
      <w:r w:rsidRPr="00062EE3" w:rsidR="000C68C6">
        <w:t>applicant was born in 1974 and lives</w:t>
      </w:r>
      <w:r w:rsidRPr="00062EE3" w:rsidR="00014566">
        <w:t xml:space="preserve"> in </w:t>
      </w:r>
      <w:proofErr w:type="spellStart"/>
      <w:r w:rsidRPr="00062EE3" w:rsidR="000C68C6">
        <w:t>Ad</w:t>
      </w:r>
      <w:r w:rsidRPr="00062EE3" w:rsidR="000C68C6">
        <w:rPr>
          <w:rFonts w:cstheme="minorHAnsi"/>
        </w:rPr>
        <w:t>ı</w:t>
      </w:r>
      <w:r w:rsidRPr="00062EE3" w:rsidR="000C68C6">
        <w:t>yaman</w:t>
      </w:r>
      <w:proofErr w:type="spellEnd"/>
      <w:r w:rsidRPr="00062EE3" w:rsidR="00014566">
        <w:t>.</w:t>
      </w:r>
    </w:p>
    <w:bookmarkStart w:name="appointmenttokilis" w:id="2"/>
    <w:p w:rsidRPr="00062EE3" w:rsidR="000C68C6" w:rsidP="00062EE3" w:rsidRDefault="000C68C6">
      <w:pPr>
        <w:pStyle w:val="ECHRPara"/>
      </w:pPr>
      <w:r w:rsidRPr="00062EE3">
        <w:fldChar w:fldCharType="begin"/>
      </w:r>
      <w:r w:rsidRPr="00062EE3">
        <w:instrText xml:space="preserve"> SEQ level0 \*arabic </w:instrText>
      </w:r>
      <w:r w:rsidRPr="00062EE3">
        <w:fldChar w:fldCharType="separate"/>
      </w:r>
      <w:r w:rsidRPr="00062EE3" w:rsidR="00062EE3">
        <w:rPr>
          <w:noProof/>
        </w:rPr>
        <w:t>5</w:t>
      </w:r>
      <w:r w:rsidRPr="00062EE3">
        <w:fldChar w:fldCharType="end"/>
      </w:r>
      <w:bookmarkEnd w:id="2"/>
      <w:r w:rsidRPr="00062EE3" w:rsidR="00014566">
        <w:t>.  </w:t>
      </w:r>
      <w:r w:rsidRPr="00062EE3">
        <w:t xml:space="preserve">On 17 October 1999 the applicant sat an examination in order to become a public servant. She was successful in the examination and on </w:t>
      </w:r>
      <w:r w:rsidRPr="00062EE3" w:rsidR="0014650F">
        <w:t>27</w:t>
      </w:r>
      <w:r w:rsidRPr="00062EE3" w:rsidR="00AD5398">
        <w:t> </w:t>
      </w:r>
      <w:r w:rsidRPr="00062EE3" w:rsidR="0014650F">
        <w:t>June 2000</w:t>
      </w:r>
      <w:r w:rsidRPr="00062EE3">
        <w:t xml:space="preserve"> she </w:t>
      </w:r>
      <w:r w:rsidRPr="00062EE3" w:rsidR="0014650F">
        <w:t>was notified</w:t>
      </w:r>
      <w:r w:rsidRPr="00062EE3">
        <w:t xml:space="preserve"> by the State Personnel Department attached to the Prime Minister</w:t>
      </w:r>
      <w:r w:rsidRPr="00062EE3" w:rsidR="00062EE3">
        <w:t>’</w:t>
      </w:r>
      <w:r w:rsidRPr="00062EE3">
        <w:t xml:space="preserve">s office that she had been appointed to the post of security officer in the </w:t>
      </w:r>
      <w:proofErr w:type="spellStart"/>
      <w:r w:rsidRPr="00062EE3" w:rsidR="00CB3AC9">
        <w:t>Kilis</w:t>
      </w:r>
      <w:proofErr w:type="spellEnd"/>
      <w:r w:rsidRPr="00062EE3">
        <w:t xml:space="preserve"> branch of TEDAŞ, the state-run Electricity Company.</w:t>
      </w:r>
    </w:p>
    <w:p w:rsidRPr="00062EE3" w:rsidR="000C68C6"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6</w:t>
      </w:r>
      <w:r w:rsidRPr="00062EE3">
        <w:rPr>
          <w:noProof/>
        </w:rPr>
        <w:fldChar w:fldCharType="end"/>
      </w:r>
      <w:r w:rsidRPr="00062EE3" w:rsidR="00CB3AC9">
        <w:t>.  </w:t>
      </w:r>
      <w:r w:rsidRPr="00062EE3" w:rsidR="000C68C6">
        <w:t xml:space="preserve">On 4 September 2000 </w:t>
      </w:r>
      <w:r w:rsidRPr="00062EE3" w:rsidR="00FC7D5B">
        <w:t xml:space="preserve">the </w:t>
      </w:r>
      <w:proofErr w:type="spellStart"/>
      <w:r w:rsidRPr="00062EE3" w:rsidR="00FC7D5B">
        <w:t>Kilis</w:t>
      </w:r>
      <w:proofErr w:type="spellEnd"/>
      <w:r w:rsidRPr="00062EE3" w:rsidR="00FC7D5B">
        <w:t xml:space="preserve"> branch of TEDAŞ </w:t>
      </w:r>
      <w:r w:rsidRPr="00062EE3" w:rsidR="000C68C6">
        <w:t xml:space="preserve">informed the applicant that she </w:t>
      </w:r>
      <w:r w:rsidRPr="00062EE3" w:rsidR="00FC7D5B">
        <w:t>would</w:t>
      </w:r>
      <w:r w:rsidRPr="00062EE3" w:rsidR="000C68C6">
        <w:t xml:space="preserve"> not be appointed </w:t>
      </w:r>
      <w:r w:rsidRPr="00062EE3" w:rsidR="00CB3AC9">
        <w:t xml:space="preserve">to a post in that office </w:t>
      </w:r>
      <w:r w:rsidRPr="00062EE3" w:rsidR="00FC7D5B">
        <w:t>as she did not fulfil the requirements of “being a man” and “having completed military service”.</w:t>
      </w:r>
    </w:p>
    <w:p w:rsidRPr="00062EE3" w:rsidR="00FC7D5B"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7</w:t>
      </w:r>
      <w:r w:rsidRPr="00062EE3">
        <w:rPr>
          <w:noProof/>
        </w:rPr>
        <w:fldChar w:fldCharType="end"/>
      </w:r>
      <w:r w:rsidRPr="00062EE3" w:rsidR="00FC7D5B">
        <w:t>.  </w:t>
      </w:r>
      <w:r w:rsidRPr="00062EE3" w:rsidR="000C68C6">
        <w:t xml:space="preserve">On </w:t>
      </w:r>
      <w:r w:rsidRPr="00062EE3" w:rsidR="00FC7D5B">
        <w:t>an unspecified date</w:t>
      </w:r>
      <w:r w:rsidRPr="00062EE3" w:rsidR="000C68C6">
        <w:t xml:space="preserve"> </w:t>
      </w:r>
      <w:r w:rsidRPr="00062EE3" w:rsidR="00FC7D5B">
        <w:t xml:space="preserve">the applicant lodged an action against TEDAŞ with the Ankara Administrative Court requesting the annulment of the decision of the </w:t>
      </w:r>
      <w:proofErr w:type="spellStart"/>
      <w:r w:rsidRPr="00062EE3" w:rsidR="00FC7D5B">
        <w:t>Kilis</w:t>
      </w:r>
      <w:proofErr w:type="spellEnd"/>
      <w:r w:rsidRPr="00062EE3" w:rsidR="00FC7D5B">
        <w:t xml:space="preserve"> branch of TEDAŞ. In her deposition, the applicant noted that being a man was not a requirement for appointment to the post in question and that she fulfilled all the requirements for that post.</w:t>
      </w:r>
    </w:p>
    <w:p w:rsidRPr="00062EE3" w:rsidR="00FC7D5B"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8</w:t>
      </w:r>
      <w:r w:rsidRPr="00062EE3">
        <w:rPr>
          <w:noProof/>
        </w:rPr>
        <w:fldChar w:fldCharType="end"/>
      </w:r>
      <w:r w:rsidRPr="00062EE3" w:rsidR="00FC7D5B">
        <w:t>.  On an unspecified date the general directorate of TEDAŞ submitted to the administrative court that one of the requirements for the post in question had been declared by the State Personnel Department as “having completed military service” and that therefore only men could be appointed to the post. The applicant, being a woman, could therefore not be recruited as a security officer.</w:t>
      </w:r>
    </w:p>
    <w:p w:rsidRPr="00062EE3" w:rsidR="00D861E6"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9</w:t>
      </w:r>
      <w:r w:rsidRPr="00062EE3">
        <w:rPr>
          <w:noProof/>
        </w:rPr>
        <w:fldChar w:fldCharType="end"/>
      </w:r>
      <w:r w:rsidRPr="00062EE3" w:rsidR="00FC7D5B">
        <w:t>.  </w:t>
      </w:r>
      <w:r w:rsidRPr="00062EE3" w:rsidR="000C68C6">
        <w:t xml:space="preserve">On 28 November 2001 the Ankara Administrative Court annulled the </w:t>
      </w:r>
      <w:r w:rsidRPr="00062EE3" w:rsidR="00FC7D5B">
        <w:t xml:space="preserve">decision of the </w:t>
      </w:r>
      <w:proofErr w:type="spellStart"/>
      <w:r w:rsidRPr="00062EE3" w:rsidR="00FC7D5B">
        <w:t>Kilis</w:t>
      </w:r>
      <w:proofErr w:type="spellEnd"/>
      <w:r w:rsidRPr="00062EE3" w:rsidR="00FC7D5B">
        <w:t xml:space="preserve"> branch of TEDAŞ</w:t>
      </w:r>
      <w:r w:rsidRPr="00062EE3" w:rsidR="000C68C6">
        <w:t xml:space="preserve">. </w:t>
      </w:r>
      <w:r w:rsidRPr="00062EE3" w:rsidR="00FC7D5B">
        <w:t>The court held that the requirement of “having completed military service” should be considered to apply only to male candidates and that there had been no restriction on women working as security officers in TEDAŞ.</w:t>
      </w:r>
    </w:p>
    <w:p w:rsidRPr="00062EE3" w:rsidR="001D617B"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10</w:t>
      </w:r>
      <w:r w:rsidRPr="00062EE3">
        <w:rPr>
          <w:noProof/>
        </w:rPr>
        <w:fldChar w:fldCharType="end"/>
      </w:r>
      <w:r w:rsidRPr="00062EE3" w:rsidR="001D617B">
        <w:t>.  </w:t>
      </w:r>
      <w:r w:rsidRPr="00062EE3" w:rsidR="000C68C6">
        <w:t xml:space="preserve">On 30 January 2002 </w:t>
      </w:r>
      <w:r w:rsidRPr="00062EE3" w:rsidR="001D617B">
        <w:t>TEDAŞ lodged an appeal against the judgment of 28 November 2001.</w:t>
      </w:r>
    </w:p>
    <w:p w:rsidRPr="00062EE3" w:rsidR="001D617B"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11</w:t>
      </w:r>
      <w:r w:rsidRPr="00062EE3">
        <w:rPr>
          <w:noProof/>
        </w:rPr>
        <w:fldChar w:fldCharType="end"/>
      </w:r>
      <w:r w:rsidRPr="00062EE3" w:rsidR="001D617B">
        <w:t>.  On 1 April 2003 the applicant was recruited by TEDA</w:t>
      </w:r>
      <w:r w:rsidRPr="00062EE3" w:rsidR="001D617B">
        <w:rPr>
          <w:rFonts w:cstheme="minorHAnsi"/>
        </w:rPr>
        <w:t>Ş.</w:t>
      </w:r>
    </w:p>
    <w:p w:rsidRPr="00062EE3" w:rsidR="001D617B"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12</w:t>
      </w:r>
      <w:r w:rsidRPr="00062EE3">
        <w:rPr>
          <w:noProof/>
        </w:rPr>
        <w:fldChar w:fldCharType="end"/>
      </w:r>
      <w:r w:rsidRPr="00062EE3" w:rsidR="001D617B">
        <w:t>.  On 21 October 2003 the Supreme Administrative Court quashed the judgment of the Ankara Administrative Court, holding that the requirement regarding military service demonstrated that the post in question was reserved for male candidates. The high court therefore found that the administration</w:t>
      </w:r>
      <w:r w:rsidRPr="00062EE3" w:rsidR="00062EE3">
        <w:t>’</w:t>
      </w:r>
      <w:r w:rsidRPr="00062EE3" w:rsidR="001D617B">
        <w:t>s decision had been in accordance with the law.</w:t>
      </w:r>
    </w:p>
    <w:p w:rsidRPr="00062EE3" w:rsidR="001D617B"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13</w:t>
      </w:r>
      <w:r w:rsidRPr="00062EE3">
        <w:rPr>
          <w:noProof/>
        </w:rPr>
        <w:fldChar w:fldCharType="end"/>
      </w:r>
      <w:r w:rsidRPr="00062EE3" w:rsidR="001D617B">
        <w:t>.  On 19 March 2004 the applicant was dismissed from her post.</w:t>
      </w:r>
    </w:p>
    <w:p w:rsidRPr="00062EE3" w:rsidR="001D617B"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14</w:t>
      </w:r>
      <w:r w:rsidRPr="00062EE3">
        <w:rPr>
          <w:noProof/>
        </w:rPr>
        <w:fldChar w:fldCharType="end"/>
      </w:r>
      <w:r w:rsidRPr="00062EE3" w:rsidR="001D617B">
        <w:t xml:space="preserve">.  On 30 December 2004 the </w:t>
      </w:r>
      <w:smartTag w:uri="urn:schemas-microsoft-com:office:smarttags" w:element="Street">
        <w:smartTag w:uri="urn:schemas-microsoft-com:office:smarttags" w:element="address">
          <w:r w:rsidR="001D617B" w:rsidRPr="00062EE3">
            <w:t>Ankara Administrative Court</w:t>
          </w:r>
        </w:smartTag>
      </w:smartTag>
      <w:r w:rsidRPr="00062EE3" w:rsidR="001D617B">
        <w:t xml:space="preserve"> dismissed the applicant</w:t>
      </w:r>
      <w:r w:rsidRPr="00062EE3" w:rsidR="00062EE3">
        <w:t>’</w:t>
      </w:r>
      <w:r w:rsidRPr="00062EE3" w:rsidR="001D617B">
        <w:t xml:space="preserve">s case, taking into consideration the decision of the </w:t>
      </w:r>
      <w:smartTag w:uri="urn:schemas-microsoft-com:office:smarttags" w:element="Street">
        <w:smartTag w:uri="urn:schemas-microsoft-com:office:smarttags" w:element="address">
          <w:r w:rsidR="001D617B" w:rsidRPr="00062EE3">
            <w:t>Supreme Administrative Court</w:t>
          </w:r>
        </w:smartTag>
      </w:smartTag>
      <w:r w:rsidRPr="00062EE3" w:rsidR="001D617B">
        <w:t>.</w:t>
      </w:r>
    </w:p>
    <w:p w:rsidRPr="00062EE3" w:rsidR="000C68C6"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15</w:t>
      </w:r>
      <w:r w:rsidRPr="00062EE3">
        <w:rPr>
          <w:noProof/>
        </w:rPr>
        <w:fldChar w:fldCharType="end"/>
      </w:r>
      <w:r w:rsidRPr="00062EE3" w:rsidR="001D617B">
        <w:t>.  O</w:t>
      </w:r>
      <w:r w:rsidRPr="00062EE3" w:rsidR="000C68C6">
        <w:t>n 7 May 2007 the Supreme Administrative Court dismissed the applicant</w:t>
      </w:r>
      <w:r w:rsidRPr="00062EE3" w:rsidR="00062EE3">
        <w:t>’</w:t>
      </w:r>
      <w:r w:rsidRPr="00062EE3" w:rsidR="000C68C6">
        <w:t>s appeal and upheld the judgment of 30 December 2004.</w:t>
      </w:r>
    </w:p>
    <w:p w:rsidRPr="00062EE3" w:rsidR="000C68C6"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16</w:t>
      </w:r>
      <w:r w:rsidRPr="00062EE3">
        <w:rPr>
          <w:noProof/>
        </w:rPr>
        <w:fldChar w:fldCharType="end"/>
      </w:r>
      <w:r w:rsidRPr="00062EE3" w:rsidR="0073700D">
        <w:t>.  </w:t>
      </w:r>
      <w:r w:rsidRPr="00062EE3" w:rsidR="000C68C6">
        <w:t xml:space="preserve">On </w:t>
      </w:r>
      <w:r w:rsidRPr="00062EE3" w:rsidR="009772F3">
        <w:t>12</w:t>
      </w:r>
      <w:r w:rsidRPr="00062EE3" w:rsidR="000C68C6">
        <w:t xml:space="preserve"> July 2007 the Supreme Administrative Court</w:t>
      </w:r>
      <w:r w:rsidRPr="00062EE3" w:rsidR="00062EE3">
        <w:t>’</w:t>
      </w:r>
      <w:r w:rsidRPr="00062EE3" w:rsidR="000C68C6">
        <w:t>s judgment was notified to the applicant.</w:t>
      </w:r>
    </w:p>
    <w:p w:rsidRPr="00062EE3" w:rsidR="00014566" w:rsidP="00062EE3" w:rsidRDefault="00014566">
      <w:pPr>
        <w:pStyle w:val="ECHRHeading1"/>
      </w:pPr>
      <w:r w:rsidRPr="00062EE3">
        <w:t>II.</w:t>
      </w:r>
      <w:proofErr w:type="gramStart"/>
      <w:r w:rsidRPr="00062EE3">
        <w:t>  RELEVANT</w:t>
      </w:r>
      <w:proofErr w:type="gramEnd"/>
      <w:r w:rsidRPr="00062EE3">
        <w:t xml:space="preserve"> DOMESTIC LAW </w:t>
      </w:r>
      <w:r w:rsidRPr="00062EE3" w:rsidR="000C68C6">
        <w:t>AND INTERNATIONAL MATERIAL</w:t>
      </w:r>
    </w:p>
    <w:p w:rsidRPr="00062EE3" w:rsidR="00014566" w:rsidP="00062EE3" w:rsidRDefault="000C68C6">
      <w:pPr>
        <w:pStyle w:val="ECHRPara"/>
      </w:pPr>
      <w:r w:rsidRPr="00062EE3">
        <w:fldChar w:fldCharType="begin"/>
      </w:r>
      <w:r w:rsidRPr="00062EE3">
        <w:instrText xml:space="preserve"> SEQ level0 \*arabic </w:instrText>
      </w:r>
      <w:r w:rsidRPr="00062EE3">
        <w:fldChar w:fldCharType="separate"/>
      </w:r>
      <w:r w:rsidRPr="00062EE3" w:rsidR="00062EE3">
        <w:rPr>
          <w:noProof/>
        </w:rPr>
        <w:t>17</w:t>
      </w:r>
      <w:r w:rsidRPr="00062EE3">
        <w:fldChar w:fldCharType="end"/>
      </w:r>
      <w:r w:rsidRPr="00062EE3" w:rsidR="00014566">
        <w:t>.  </w:t>
      </w:r>
      <w:r w:rsidRPr="00062EE3">
        <w:t xml:space="preserve">Relevant domestic law, in force at the material time, and international material can be found in </w:t>
      </w:r>
      <w:proofErr w:type="spellStart"/>
      <w:r w:rsidRPr="00062EE3">
        <w:rPr>
          <w:i/>
        </w:rPr>
        <w:t>Emel</w:t>
      </w:r>
      <w:proofErr w:type="spellEnd"/>
      <w:r w:rsidRPr="00062EE3">
        <w:rPr>
          <w:i/>
        </w:rPr>
        <w:t xml:space="preserve"> </w:t>
      </w:r>
      <w:proofErr w:type="spellStart"/>
      <w:r w:rsidRPr="00062EE3">
        <w:rPr>
          <w:i/>
        </w:rPr>
        <w:t>Boyraz</w:t>
      </w:r>
      <w:proofErr w:type="spellEnd"/>
      <w:r w:rsidRPr="00062EE3">
        <w:t xml:space="preserve"> </w:t>
      </w:r>
      <w:r w:rsidRPr="00062EE3">
        <w:rPr>
          <w:i/>
        </w:rPr>
        <w:t>v. Turkey</w:t>
      </w:r>
      <w:r w:rsidRPr="00062EE3">
        <w:t xml:space="preserve"> (no. 61960/08</w:t>
      </w:r>
      <w:r w:rsidRPr="00062EE3">
        <w:rPr>
          <w:snapToGrid w:val="0"/>
        </w:rPr>
        <w:t>, §§</w:t>
      </w:r>
      <w:r w:rsidRPr="00062EE3" w:rsidR="00AD5398">
        <w:rPr>
          <w:snapToGrid w:val="0"/>
        </w:rPr>
        <w:t> </w:t>
      </w:r>
      <w:r w:rsidRPr="00062EE3">
        <w:rPr>
          <w:snapToGrid w:val="0"/>
        </w:rPr>
        <w:t>26-30, 2 December 2014</w:t>
      </w:r>
      <w:r w:rsidRPr="00062EE3" w:rsidR="0073700D">
        <w:rPr>
          <w:snapToGrid w:val="0"/>
        </w:rPr>
        <w:t>).</w:t>
      </w:r>
    </w:p>
    <w:p w:rsidRPr="00062EE3" w:rsidR="00014566" w:rsidP="00062EE3" w:rsidRDefault="00014566">
      <w:pPr>
        <w:pStyle w:val="ECHRTitle1"/>
      </w:pPr>
      <w:r w:rsidRPr="00062EE3">
        <w:t>THE LAW</w:t>
      </w:r>
    </w:p>
    <w:p w:rsidRPr="00062EE3" w:rsidR="006A5B98" w:rsidP="00062EE3" w:rsidRDefault="00014566">
      <w:pPr>
        <w:pStyle w:val="ECHRHeading1"/>
      </w:pPr>
      <w:r w:rsidRPr="00062EE3">
        <w:t>I.  </w:t>
      </w:r>
      <w:r w:rsidRPr="00062EE3" w:rsidR="006A5B98">
        <w:t>THE GOVERNMENT</w:t>
      </w:r>
      <w:r w:rsidRPr="00062EE3" w:rsidR="00062EE3">
        <w:t>’</w:t>
      </w:r>
      <w:r w:rsidRPr="00062EE3" w:rsidR="006A5B98">
        <w:t>S OBJECTION</w:t>
      </w:r>
    </w:p>
    <w:p w:rsidRPr="00062EE3" w:rsidR="006A5B98" w:rsidP="00062EE3" w:rsidRDefault="006A5B98">
      <w:pPr>
        <w:pStyle w:val="ECHRPara"/>
      </w:pPr>
      <w:r w:rsidRPr="00062EE3">
        <w:fldChar w:fldCharType="begin"/>
      </w:r>
      <w:r w:rsidRPr="00062EE3">
        <w:instrText xml:space="preserve"> SEQ level0 \*arabic </w:instrText>
      </w:r>
      <w:r w:rsidRPr="00062EE3">
        <w:fldChar w:fldCharType="separate"/>
      </w:r>
      <w:r w:rsidRPr="00062EE3" w:rsidR="00062EE3">
        <w:rPr>
          <w:noProof/>
        </w:rPr>
        <w:t>18</w:t>
      </w:r>
      <w:r w:rsidRPr="00062EE3">
        <w:fldChar w:fldCharType="end"/>
      </w:r>
      <w:r w:rsidRPr="00062EE3">
        <w:t>.  The Government submitted that the applican</w:t>
      </w:r>
      <w:r w:rsidRPr="00062EE3" w:rsidR="00BB327C">
        <w:t>t had failed to submit an authority form authorising her representative to lodge the case with the Court.</w:t>
      </w:r>
    </w:p>
    <w:p w:rsidRPr="00062EE3" w:rsidR="00BB327C" w:rsidP="00062EE3" w:rsidRDefault="00BB327C">
      <w:pPr>
        <w:pStyle w:val="ECHRPara"/>
      </w:pPr>
      <w:r w:rsidRPr="00062EE3">
        <w:fldChar w:fldCharType="begin"/>
      </w:r>
      <w:r w:rsidRPr="00062EE3">
        <w:instrText xml:space="preserve"> SEQ level0 \*arabic </w:instrText>
      </w:r>
      <w:r w:rsidRPr="00062EE3">
        <w:fldChar w:fldCharType="separate"/>
      </w:r>
      <w:r w:rsidRPr="00062EE3" w:rsidR="00062EE3">
        <w:rPr>
          <w:noProof/>
        </w:rPr>
        <w:t>19</w:t>
      </w:r>
      <w:r w:rsidRPr="00062EE3">
        <w:fldChar w:fldCharType="end"/>
      </w:r>
      <w:r w:rsidRPr="00062EE3">
        <w:t>.  The Court observes that when the notice of the application was given to the respondent Government, the applicant</w:t>
      </w:r>
      <w:r w:rsidRPr="00062EE3" w:rsidR="00062EE3">
        <w:t>’</w:t>
      </w:r>
      <w:r w:rsidRPr="00062EE3">
        <w:t>s representative was requested to submit an authority form. On 2 April 2014 he submitted an authority form indicating that he represented the applicant. The Government</w:t>
      </w:r>
      <w:r w:rsidRPr="00062EE3" w:rsidR="00062EE3">
        <w:t>’</w:t>
      </w:r>
      <w:r w:rsidRPr="00062EE3">
        <w:t>s argument on that point should therefore be rejected.</w:t>
      </w:r>
    </w:p>
    <w:p w:rsidRPr="00062EE3" w:rsidR="00014566" w:rsidP="00062EE3" w:rsidRDefault="00AD5398">
      <w:pPr>
        <w:pStyle w:val="ECHRHeading1"/>
      </w:pPr>
      <w:r w:rsidRPr="00062EE3">
        <w:t>II.</w:t>
      </w:r>
      <w:proofErr w:type="gramStart"/>
      <w:r w:rsidRPr="00062EE3">
        <w:t>  </w:t>
      </w:r>
      <w:r w:rsidRPr="00062EE3" w:rsidR="0073700D">
        <w:t>ALLEGED</w:t>
      </w:r>
      <w:proofErr w:type="gramEnd"/>
      <w:r w:rsidRPr="00062EE3" w:rsidR="0073700D">
        <w:t xml:space="preserve"> VIOLATION OF ARTICLE 14 OF THE CONVENTION IN CONJUNCTION WITH ARTICLE 8 OF THE CONVENTION</w:t>
      </w:r>
    </w:p>
    <w:p w:rsidRPr="00062EE3" w:rsidR="0073700D"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20</w:t>
      </w:r>
      <w:r w:rsidRPr="00062EE3">
        <w:rPr>
          <w:noProof/>
        </w:rPr>
        <w:fldChar w:fldCharType="end"/>
      </w:r>
      <w:r w:rsidRPr="00062EE3" w:rsidR="0073700D">
        <w:t xml:space="preserve">.  Relying on </w:t>
      </w:r>
      <w:r w:rsidRPr="00062EE3" w:rsidR="0073700D">
        <w:rPr>
          <w:szCs w:val="24"/>
        </w:rPr>
        <w:t xml:space="preserve">Article 14 of the Convention and Article 11 of the Convention </w:t>
      </w:r>
      <w:r w:rsidRPr="00062EE3" w:rsidR="0073700D">
        <w:t>on the Elimination of All Forms of Discrimination against Women (CEDAW), which prohibits discrimination against women in the field of employment, the applicant complained that the administrative authorities</w:t>
      </w:r>
      <w:r w:rsidRPr="00062EE3" w:rsidR="00062EE3">
        <w:t>’</w:t>
      </w:r>
      <w:r w:rsidRPr="00062EE3" w:rsidR="0073700D">
        <w:t xml:space="preserve"> decisions and the domestic courts</w:t>
      </w:r>
      <w:r w:rsidRPr="00062EE3" w:rsidR="00062EE3">
        <w:t>’</w:t>
      </w:r>
      <w:r w:rsidRPr="00062EE3" w:rsidR="0073700D">
        <w:t xml:space="preserve"> judgments constituted discrimination against her on grounds of sex.</w:t>
      </w:r>
    </w:p>
    <w:p w:rsidRPr="00062EE3" w:rsidR="00014566" w:rsidP="00062EE3" w:rsidRDefault="000C68C6">
      <w:pPr>
        <w:pStyle w:val="ECHRPara"/>
      </w:pPr>
      <w:r w:rsidRPr="00062EE3">
        <w:fldChar w:fldCharType="begin"/>
      </w:r>
      <w:r w:rsidRPr="00062EE3">
        <w:instrText xml:space="preserve"> SEQ level0 \*arabic </w:instrText>
      </w:r>
      <w:r w:rsidRPr="00062EE3">
        <w:fldChar w:fldCharType="separate"/>
      </w:r>
      <w:r w:rsidRPr="00062EE3" w:rsidR="00062EE3">
        <w:rPr>
          <w:noProof/>
        </w:rPr>
        <w:t>21</w:t>
      </w:r>
      <w:r w:rsidRPr="00062EE3">
        <w:fldChar w:fldCharType="end"/>
      </w:r>
      <w:r w:rsidRPr="00062EE3" w:rsidR="00014566">
        <w:t>.  The Government contested that argument.</w:t>
      </w:r>
    </w:p>
    <w:p w:rsidRPr="00062EE3" w:rsidR="0073700D" w:rsidP="00062EE3" w:rsidRDefault="000C68C6">
      <w:pPr>
        <w:pStyle w:val="ECHRPara"/>
        <w:rPr>
          <w:snapToGrid w:val="0"/>
        </w:rPr>
      </w:pPr>
      <w:r w:rsidRPr="00062EE3">
        <w:fldChar w:fldCharType="begin"/>
      </w:r>
      <w:r w:rsidRPr="00062EE3">
        <w:instrText xml:space="preserve"> SEQ level0 \*arabic </w:instrText>
      </w:r>
      <w:r w:rsidRPr="00062EE3">
        <w:fldChar w:fldCharType="separate"/>
      </w:r>
      <w:r w:rsidRPr="00062EE3" w:rsidR="00062EE3">
        <w:rPr>
          <w:noProof/>
        </w:rPr>
        <w:t>22</w:t>
      </w:r>
      <w:r w:rsidRPr="00062EE3">
        <w:fldChar w:fldCharType="end"/>
      </w:r>
      <w:r w:rsidRPr="00062EE3" w:rsidR="00014566">
        <w:t>.  </w:t>
      </w:r>
      <w:r w:rsidRPr="00062EE3" w:rsidR="0073700D">
        <w:t>The Court, as the master of the characterisation to be given in law to the facts of any case before it and having regard to the circumstances of the present case, considers that this complaint falls to be examined under Article</w:t>
      </w:r>
      <w:r w:rsidRPr="00062EE3" w:rsidR="00AD5398">
        <w:t> </w:t>
      </w:r>
      <w:r w:rsidRPr="00062EE3" w:rsidR="0073700D">
        <w:t xml:space="preserve">14 of the Convention, taken in conjunction with Article 8 of the Convention </w:t>
      </w:r>
      <w:r w:rsidRPr="00062EE3" w:rsidR="00A55EA2">
        <w:rPr>
          <w:rFonts w:eastAsia="Times New Roman"/>
        </w:rPr>
        <w:t xml:space="preserve">(see </w:t>
      </w:r>
      <w:proofErr w:type="spellStart"/>
      <w:r w:rsidRPr="00062EE3" w:rsidR="00A55EA2">
        <w:rPr>
          <w:rFonts w:eastAsia="Times New Roman"/>
          <w:i/>
        </w:rPr>
        <w:t>Emel</w:t>
      </w:r>
      <w:proofErr w:type="spellEnd"/>
      <w:r w:rsidRPr="00062EE3" w:rsidR="00A55EA2">
        <w:rPr>
          <w:rFonts w:eastAsia="Times New Roman"/>
          <w:i/>
        </w:rPr>
        <w:t xml:space="preserve"> </w:t>
      </w:r>
      <w:proofErr w:type="spellStart"/>
      <w:r w:rsidRPr="00062EE3" w:rsidR="00A55EA2">
        <w:rPr>
          <w:rFonts w:eastAsia="Times New Roman"/>
          <w:i/>
        </w:rPr>
        <w:t>Boyraz</w:t>
      </w:r>
      <w:proofErr w:type="spellEnd"/>
      <w:r w:rsidRPr="00062EE3" w:rsidR="00A55EA2">
        <w:rPr>
          <w:rFonts w:eastAsia="Times New Roman"/>
          <w:i/>
        </w:rPr>
        <w:t xml:space="preserve"> v. Turkey</w:t>
      </w:r>
      <w:r w:rsidRPr="00062EE3" w:rsidR="00A55EA2">
        <w:rPr>
          <w:rFonts w:eastAsia="Times New Roman"/>
        </w:rPr>
        <w:t>,</w:t>
      </w:r>
      <w:r w:rsidRPr="00062EE3" w:rsidR="00A55EA2">
        <w:rPr>
          <w:rFonts w:eastAsia="Times New Roman"/>
          <w:i/>
        </w:rPr>
        <w:t xml:space="preserve"> </w:t>
      </w:r>
      <w:r w:rsidRPr="00062EE3" w:rsidR="00A55EA2">
        <w:rPr>
          <w:rFonts w:eastAsia="Times New Roman"/>
        </w:rPr>
        <w:t>no. 61960/08</w:t>
      </w:r>
      <w:r w:rsidRPr="00062EE3" w:rsidR="00A55EA2">
        <w:rPr>
          <w:rFonts w:eastAsia="Times New Roman"/>
          <w:snapToGrid w:val="0"/>
        </w:rPr>
        <w:t xml:space="preserve">, </w:t>
      </w:r>
      <w:r w:rsidRPr="00062EE3" w:rsidR="00A55EA2">
        <w:rPr>
          <w:rFonts w:eastAsia="Times New Roman"/>
        </w:rPr>
        <w:t>§ 33</w:t>
      </w:r>
      <w:r w:rsidRPr="00062EE3" w:rsidR="00A55EA2">
        <w:rPr>
          <w:rFonts w:eastAsia="Times New Roman"/>
          <w:snapToGrid w:val="0"/>
        </w:rPr>
        <w:t>, 2 December 2014</w:t>
      </w:r>
      <w:r w:rsidRPr="00062EE3" w:rsidR="00A55EA2">
        <w:rPr>
          <w:rFonts w:eastAsia="Times New Roman"/>
        </w:rPr>
        <w:t xml:space="preserve">, and the cases cited therein, and </w:t>
      </w:r>
      <w:proofErr w:type="spellStart"/>
      <w:r w:rsidRPr="00062EE3" w:rsidR="00A55EA2">
        <w:rPr>
          <w:rFonts w:eastAsia="Times New Roman"/>
          <w:i/>
        </w:rPr>
        <w:t>Radomilja</w:t>
      </w:r>
      <w:proofErr w:type="spellEnd"/>
      <w:r w:rsidRPr="00062EE3" w:rsidR="00A55EA2">
        <w:rPr>
          <w:rFonts w:eastAsia="Times New Roman"/>
          <w:i/>
        </w:rPr>
        <w:t xml:space="preserve"> and Others v.</w:t>
      </w:r>
      <w:r w:rsidRPr="00062EE3" w:rsidR="00AD5398">
        <w:rPr>
          <w:rFonts w:eastAsia="Times New Roman"/>
          <w:i/>
        </w:rPr>
        <w:t> </w:t>
      </w:r>
      <w:r w:rsidRPr="00062EE3" w:rsidR="00A55EA2">
        <w:rPr>
          <w:rFonts w:eastAsia="Times New Roman"/>
          <w:i/>
        </w:rPr>
        <w:t>Croatia</w:t>
      </w:r>
      <w:r w:rsidRPr="00062EE3" w:rsidR="00A55EA2">
        <w:rPr>
          <w:rFonts w:eastAsia="Times New Roman"/>
        </w:rPr>
        <w:t xml:space="preserve"> [GC], nos. 37685/10 and 22768/12, § 126, ECHR 2018)</w:t>
      </w:r>
      <w:r w:rsidRPr="00062EE3" w:rsidR="0073700D">
        <w:rPr>
          <w:snapToGrid w:val="0"/>
        </w:rPr>
        <w:t>.</w:t>
      </w:r>
      <w:r w:rsidRPr="00062EE3" w:rsidR="00F601AA">
        <w:rPr>
          <w:snapToGrid w:val="0"/>
        </w:rPr>
        <w:t xml:space="preserve"> Articles 8 and 14 provide as follows:</w:t>
      </w:r>
    </w:p>
    <w:p w:rsidRPr="00062EE3" w:rsidR="00F601AA" w:rsidP="00062EE3" w:rsidRDefault="00F601AA">
      <w:pPr>
        <w:pStyle w:val="ECHRTitleCentre3"/>
      </w:pPr>
      <w:r w:rsidRPr="00062EE3">
        <w:t>Article 8</w:t>
      </w:r>
    </w:p>
    <w:p w:rsidRPr="00062EE3" w:rsidR="00F601AA" w:rsidP="00062EE3" w:rsidRDefault="00F601AA">
      <w:pPr>
        <w:pStyle w:val="ECHRParaQuote"/>
      </w:pPr>
      <w:r w:rsidRPr="00062EE3">
        <w:t>“1.</w:t>
      </w:r>
      <w:proofErr w:type="gramStart"/>
      <w:r w:rsidRPr="00062EE3">
        <w:t>  Everyone</w:t>
      </w:r>
      <w:proofErr w:type="gramEnd"/>
      <w:r w:rsidRPr="00062EE3">
        <w:t xml:space="preserve"> has the right to respect for his private and family life, his home and his correspondence.</w:t>
      </w:r>
    </w:p>
    <w:p w:rsidRPr="00062EE3" w:rsidR="00F601AA" w:rsidP="00062EE3" w:rsidRDefault="00F601AA">
      <w:pPr>
        <w:pStyle w:val="ECHRParaQuote"/>
      </w:pPr>
      <w:r w:rsidRPr="00062EE3">
        <w:t>2.</w:t>
      </w:r>
      <w:proofErr w:type="gramStart"/>
      <w:r w:rsidRPr="00062EE3">
        <w:t>  There</w:t>
      </w:r>
      <w:proofErr w:type="gramEnd"/>
      <w:r w:rsidRPr="00062EE3">
        <w:t xml:space="preserve"> shall be no interference by a public authority with the exercise of this right except such as is in accordance with the law and is necessary in a democratic society in the interests of national security, public safety or the economic well-being of the country, for the prevention of disorder or crime, for the protection of health or morals, or for the protection of the rights and freedoms of others.”</w:t>
      </w:r>
    </w:p>
    <w:p w:rsidRPr="00062EE3" w:rsidR="00F601AA" w:rsidP="00062EE3" w:rsidRDefault="00F601AA">
      <w:pPr>
        <w:pStyle w:val="ECHRTitleCentre3"/>
      </w:pPr>
      <w:r w:rsidRPr="00062EE3">
        <w:t>Article 14</w:t>
      </w:r>
    </w:p>
    <w:p w:rsidRPr="00062EE3" w:rsidR="00F601AA" w:rsidP="00062EE3" w:rsidRDefault="00F601AA">
      <w:pPr>
        <w:pStyle w:val="ECHRParaQuote"/>
      </w:pPr>
      <w:r w:rsidRPr="00062EE3">
        <w:t xml:space="preserve">“The enjoyment of the rights and freedoms set forth in [the] Convention shall be secured without discrimination on any ground such as sex, race, colour, language, </w:t>
      </w:r>
      <w:proofErr w:type="gramStart"/>
      <w:r w:rsidRPr="00062EE3">
        <w:t>religion</w:t>
      </w:r>
      <w:proofErr w:type="gramEnd"/>
      <w:r w:rsidRPr="00062EE3">
        <w:t>, political or other opinion, national or social origin, association with a national minority, property, birth or other status.”</w:t>
      </w:r>
    </w:p>
    <w:p w:rsidRPr="00062EE3" w:rsidR="00014566" w:rsidP="00062EE3" w:rsidRDefault="00014566">
      <w:pPr>
        <w:pStyle w:val="ECHRHeading2"/>
      </w:pPr>
      <w:r w:rsidRPr="00062EE3">
        <w:t>A.  Admissibility</w:t>
      </w:r>
    </w:p>
    <w:p w:rsidRPr="00062EE3" w:rsidR="000C2D8A" w:rsidP="00062EE3" w:rsidRDefault="000C68C6">
      <w:pPr>
        <w:pStyle w:val="ECHRPara"/>
      </w:pPr>
      <w:r w:rsidRPr="00062EE3">
        <w:fldChar w:fldCharType="begin"/>
      </w:r>
      <w:r w:rsidRPr="00062EE3">
        <w:instrText xml:space="preserve"> SEQ level0 \*arabic </w:instrText>
      </w:r>
      <w:r w:rsidRPr="00062EE3">
        <w:fldChar w:fldCharType="separate"/>
      </w:r>
      <w:r w:rsidRPr="00062EE3" w:rsidR="00062EE3">
        <w:rPr>
          <w:noProof/>
        </w:rPr>
        <w:t>23</w:t>
      </w:r>
      <w:r w:rsidRPr="00062EE3">
        <w:fldChar w:fldCharType="end"/>
      </w:r>
      <w:r w:rsidRPr="00062EE3" w:rsidR="00014566">
        <w:t>.  </w:t>
      </w:r>
      <w:r w:rsidRPr="00062EE3" w:rsidR="00722481">
        <w:t>The Government submitted that neither Article 8 nor Article 14 was applicable in the instant case as it concerned a right which was not secured by the Convention, namely the right to access to a particular profession.</w:t>
      </w:r>
    </w:p>
    <w:p w:rsidRPr="00062EE3" w:rsidR="00722481"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24</w:t>
      </w:r>
      <w:r w:rsidRPr="00062EE3">
        <w:rPr>
          <w:noProof/>
        </w:rPr>
        <w:fldChar w:fldCharType="end"/>
      </w:r>
      <w:r w:rsidRPr="00062EE3" w:rsidR="00722481">
        <w:t>.  The applicant contested that claim.</w:t>
      </w:r>
    </w:p>
    <w:p w:rsidRPr="00062EE3" w:rsidR="00722481"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25</w:t>
      </w:r>
      <w:r w:rsidRPr="00062EE3">
        <w:rPr>
          <w:noProof/>
        </w:rPr>
        <w:fldChar w:fldCharType="end"/>
      </w:r>
      <w:r w:rsidRPr="00062EE3" w:rsidR="00722481">
        <w:t>.  The Court notes that it has already examined and rejected the Government</w:t>
      </w:r>
      <w:r w:rsidRPr="00062EE3" w:rsidR="00062EE3">
        <w:t>’</w:t>
      </w:r>
      <w:r w:rsidRPr="00062EE3" w:rsidR="00722481">
        <w:t xml:space="preserve">s preliminary objection in the case of </w:t>
      </w:r>
      <w:proofErr w:type="spellStart"/>
      <w:r w:rsidRPr="00062EE3" w:rsidR="00722481">
        <w:rPr>
          <w:i/>
        </w:rPr>
        <w:t>Emel</w:t>
      </w:r>
      <w:proofErr w:type="spellEnd"/>
      <w:r w:rsidRPr="00062EE3" w:rsidR="00722481">
        <w:rPr>
          <w:i/>
        </w:rPr>
        <w:t xml:space="preserve"> </w:t>
      </w:r>
      <w:proofErr w:type="spellStart"/>
      <w:r w:rsidRPr="00062EE3" w:rsidR="00722481">
        <w:rPr>
          <w:i/>
        </w:rPr>
        <w:t>Boyraz</w:t>
      </w:r>
      <w:proofErr w:type="spellEnd"/>
      <w:r w:rsidRPr="00062EE3" w:rsidR="00722481">
        <w:rPr>
          <w:i/>
        </w:rPr>
        <w:t xml:space="preserve"> </w:t>
      </w:r>
      <w:r w:rsidRPr="00062EE3" w:rsidR="00722481">
        <w:t xml:space="preserve">(cited above, </w:t>
      </w:r>
      <w:r w:rsidRPr="00062EE3" w:rsidR="00722481">
        <w:rPr>
          <w:rFonts w:cstheme="minorHAnsi"/>
        </w:rPr>
        <w:t>§§</w:t>
      </w:r>
      <w:r w:rsidRPr="00062EE3" w:rsidR="00722481">
        <w:t xml:space="preserve"> 38-46). The Court finds no particular circumstances in the present case which would require it to depart from that conclusion. The Court considers that Article 14 of the Convention is applicable in the circumstances of this case, taken in conjunction with Article 8, and rejects the Government</w:t>
      </w:r>
      <w:r w:rsidRPr="00062EE3" w:rsidR="00062EE3">
        <w:t>’</w:t>
      </w:r>
      <w:r w:rsidRPr="00062EE3" w:rsidR="00722481">
        <w:t>s objection.</w:t>
      </w:r>
    </w:p>
    <w:p w:rsidRPr="00062EE3" w:rsidR="00014566" w:rsidP="00062EE3" w:rsidRDefault="00722481">
      <w:pPr>
        <w:pStyle w:val="ECHRPara"/>
      </w:pPr>
      <w:r w:rsidRPr="00062EE3">
        <w:fldChar w:fldCharType="begin"/>
      </w:r>
      <w:r w:rsidRPr="00062EE3">
        <w:instrText xml:space="preserve"> SEQ level0 \*arabic </w:instrText>
      </w:r>
      <w:r w:rsidRPr="00062EE3">
        <w:fldChar w:fldCharType="separate"/>
      </w:r>
      <w:r w:rsidRPr="00062EE3" w:rsidR="00062EE3">
        <w:rPr>
          <w:noProof/>
        </w:rPr>
        <w:t>26</w:t>
      </w:r>
      <w:r w:rsidRPr="00062EE3">
        <w:fldChar w:fldCharType="end"/>
      </w:r>
      <w:r w:rsidRPr="00062EE3">
        <w:t>.  </w:t>
      </w:r>
      <w:r w:rsidRPr="00062EE3" w:rsidR="00014566">
        <w:t>The Court notes that the application is not manifestly ill-founded within the meaning of Article 35 § 3 (a) of the Convention. It further notes that it is not inadmissible on any other grounds. It must therefore be declared admissible.</w:t>
      </w:r>
    </w:p>
    <w:p w:rsidRPr="00062EE3" w:rsidR="00014566" w:rsidP="00062EE3" w:rsidRDefault="00014566">
      <w:pPr>
        <w:pStyle w:val="ECHRHeading2"/>
      </w:pPr>
      <w:r w:rsidRPr="00062EE3">
        <w:t>B.  Merits</w:t>
      </w:r>
    </w:p>
    <w:p w:rsidRPr="00062EE3" w:rsidR="00014566" w:rsidP="00062EE3" w:rsidRDefault="000C68C6">
      <w:pPr>
        <w:pStyle w:val="ECHRPara"/>
      </w:pPr>
      <w:r w:rsidRPr="00062EE3">
        <w:fldChar w:fldCharType="begin"/>
      </w:r>
      <w:r w:rsidRPr="00062EE3">
        <w:instrText xml:space="preserve"> SEQ level0 \*arabic </w:instrText>
      </w:r>
      <w:r w:rsidRPr="00062EE3">
        <w:fldChar w:fldCharType="separate"/>
      </w:r>
      <w:r w:rsidRPr="00062EE3" w:rsidR="00062EE3">
        <w:rPr>
          <w:noProof/>
        </w:rPr>
        <w:t>27</w:t>
      </w:r>
      <w:r w:rsidRPr="00062EE3">
        <w:fldChar w:fldCharType="end"/>
      </w:r>
      <w:r w:rsidRPr="00062EE3" w:rsidR="00014566">
        <w:t>.  </w:t>
      </w:r>
      <w:r w:rsidRPr="00062EE3" w:rsidR="00722481">
        <w:t xml:space="preserve">The Government maintained that there had been an objective and reasonable justification for the refusal of the domestic authorities to appoint the applicant to the post of security officer. They noted that the post in question had been reserved for male candidates in view of the nature of the service, which involved bearing and using firearms. They submitted that male candidates had already </w:t>
      </w:r>
      <w:r w:rsidRPr="00062EE3" w:rsidR="00AD5398">
        <w:t>received</w:t>
      </w:r>
      <w:r w:rsidRPr="00062EE3" w:rsidR="00722481">
        <w:t xml:space="preserve"> training in use of firearms and were able to work in rural areas and at night time, where necessary.</w:t>
      </w:r>
    </w:p>
    <w:p w:rsidRPr="00062EE3" w:rsidR="00722481"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28</w:t>
      </w:r>
      <w:r w:rsidRPr="00062EE3">
        <w:rPr>
          <w:noProof/>
        </w:rPr>
        <w:fldChar w:fldCharType="end"/>
      </w:r>
      <w:r w:rsidRPr="00062EE3" w:rsidR="00722481">
        <w:t>.  The applicant submitted that being a woman was not an obstacle to use firearms and working in rural areas and at night time. She noted that women were employed as police and prison officers.</w:t>
      </w:r>
    </w:p>
    <w:p w:rsidRPr="00062EE3" w:rsidR="000C2D8A" w:rsidP="00062EE3" w:rsidRDefault="000C68C6">
      <w:pPr>
        <w:pStyle w:val="ECHRPara"/>
      </w:pPr>
      <w:r w:rsidRPr="00062EE3">
        <w:fldChar w:fldCharType="begin"/>
      </w:r>
      <w:r w:rsidRPr="00062EE3">
        <w:instrText xml:space="preserve"> SEQ level0 \*arabic </w:instrText>
      </w:r>
      <w:r w:rsidRPr="00062EE3">
        <w:fldChar w:fldCharType="separate"/>
      </w:r>
      <w:r w:rsidRPr="00062EE3" w:rsidR="00062EE3">
        <w:rPr>
          <w:noProof/>
        </w:rPr>
        <w:t>29</w:t>
      </w:r>
      <w:r w:rsidRPr="00062EE3">
        <w:fldChar w:fldCharType="end"/>
      </w:r>
      <w:r w:rsidRPr="00062EE3" w:rsidR="00014566">
        <w:t>.  </w:t>
      </w:r>
      <w:r w:rsidRPr="00062EE3" w:rsidR="00722481">
        <w:t xml:space="preserve">The Court notes that in the case of </w:t>
      </w:r>
      <w:proofErr w:type="spellStart"/>
      <w:r w:rsidRPr="00062EE3" w:rsidR="00722481">
        <w:rPr>
          <w:i/>
        </w:rPr>
        <w:t>Emel</w:t>
      </w:r>
      <w:proofErr w:type="spellEnd"/>
      <w:r w:rsidRPr="00062EE3" w:rsidR="00722481">
        <w:rPr>
          <w:i/>
        </w:rPr>
        <w:t xml:space="preserve"> </w:t>
      </w:r>
      <w:proofErr w:type="spellStart"/>
      <w:r w:rsidRPr="00062EE3" w:rsidR="00722481">
        <w:rPr>
          <w:i/>
        </w:rPr>
        <w:t>Boyraz</w:t>
      </w:r>
      <w:proofErr w:type="spellEnd"/>
      <w:r w:rsidRPr="00062EE3" w:rsidR="00722481">
        <w:rPr>
          <w:i/>
        </w:rPr>
        <w:t xml:space="preserve"> </w:t>
      </w:r>
      <w:r w:rsidRPr="00062EE3" w:rsidR="00722481">
        <w:t xml:space="preserve">(cited above, </w:t>
      </w:r>
      <w:r w:rsidRPr="00062EE3" w:rsidR="00722481">
        <w:rPr>
          <w:rFonts w:cstheme="minorHAnsi"/>
        </w:rPr>
        <w:t>§§</w:t>
      </w:r>
      <w:r w:rsidRPr="00062EE3" w:rsidR="00AD5398">
        <w:t> 48</w:t>
      </w:r>
      <w:r w:rsidRPr="00062EE3" w:rsidR="00AD5398">
        <w:noBreakHyphen/>
      </w:r>
      <w:r w:rsidRPr="00062EE3" w:rsidR="00722481">
        <w:t xml:space="preserve">56), which raised the same issues as those in the present </w:t>
      </w:r>
      <w:proofErr w:type="gramStart"/>
      <w:r w:rsidRPr="00062EE3" w:rsidR="00722481">
        <w:t>case,</w:t>
      </w:r>
      <w:proofErr w:type="gramEnd"/>
      <w:r w:rsidRPr="00062EE3" w:rsidR="00722481">
        <w:t xml:space="preserve"> it </w:t>
      </w:r>
      <w:r w:rsidRPr="00062EE3" w:rsidR="00F601AA">
        <w:t>held</w:t>
      </w:r>
      <w:r w:rsidRPr="00062EE3" w:rsidR="00722481">
        <w:t xml:space="preserve"> that this difference in treatment between women and men, of which the applicant had been a victim, was not objectively and reasonably justified under Article 14.</w:t>
      </w:r>
    </w:p>
    <w:p w:rsidRPr="00062EE3" w:rsidR="007C132A" w:rsidP="00062EE3" w:rsidRDefault="000C68C6">
      <w:pPr>
        <w:pStyle w:val="ECHRPara"/>
      </w:pPr>
      <w:r w:rsidRPr="00062EE3">
        <w:fldChar w:fldCharType="begin"/>
      </w:r>
      <w:r w:rsidRPr="00062EE3">
        <w:instrText xml:space="preserve"> SEQ level0 \*arabic </w:instrText>
      </w:r>
      <w:r w:rsidRPr="00062EE3">
        <w:fldChar w:fldCharType="separate"/>
      </w:r>
      <w:r w:rsidRPr="00062EE3" w:rsidR="00062EE3">
        <w:rPr>
          <w:noProof/>
        </w:rPr>
        <w:t>30</w:t>
      </w:r>
      <w:r w:rsidRPr="00062EE3">
        <w:fldChar w:fldCharType="end"/>
      </w:r>
      <w:r w:rsidRPr="00062EE3" w:rsidR="00014566">
        <w:t>.  </w:t>
      </w:r>
      <w:r w:rsidRPr="00062EE3" w:rsidR="00722481">
        <w:t xml:space="preserve">Having examined all the material submitted to it, the Court considers that the Government have not put forward any fact or argument capable of persuading it to reach a different conclusion in the present case. </w:t>
      </w:r>
      <w:r w:rsidRPr="00062EE3" w:rsidR="00766F9C">
        <w:t>In particular, in the Court</w:t>
      </w:r>
      <w:r w:rsidRPr="00062EE3" w:rsidR="00062EE3">
        <w:t>’</w:t>
      </w:r>
      <w:r w:rsidRPr="00062EE3" w:rsidR="00766F9C">
        <w:t>s view, the mere fact that security officers had to work on night shifts and in rural areas and might be required to use firearms and physical force under certain conditions could not in itself justify the difference in treatment between men and women. Besides, Ms Can worked as a security officer between 1 April 2003 and 19 March 2004 and that there was nothing in that case file to indicate that the applicant had failed to fulfil her duties as a security officer in TEDAŞ because of her sex.</w:t>
      </w:r>
    </w:p>
    <w:p w:rsidRPr="00062EE3" w:rsidR="00722481" w:rsidP="00062EE3" w:rsidRDefault="00722481">
      <w:pPr>
        <w:pStyle w:val="ECHRPara"/>
      </w:pPr>
      <w:r w:rsidRPr="00062EE3">
        <w:t>There has accordingly been a violation of Article 14 of the Convention taken in conjunction with Article 8.</w:t>
      </w:r>
    </w:p>
    <w:p w:rsidRPr="00062EE3" w:rsidR="00014566" w:rsidP="00062EE3" w:rsidRDefault="007C132A">
      <w:pPr>
        <w:pStyle w:val="ECHRHeading1"/>
      </w:pPr>
      <w:r w:rsidRPr="00062EE3">
        <w:t>III</w:t>
      </w:r>
      <w:r w:rsidRPr="00062EE3" w:rsidR="00014566">
        <w:t>.</w:t>
      </w:r>
      <w:proofErr w:type="gramStart"/>
      <w:r w:rsidRPr="00062EE3" w:rsidR="00014566">
        <w:t>  APPLICATION</w:t>
      </w:r>
      <w:proofErr w:type="gramEnd"/>
      <w:r w:rsidRPr="00062EE3" w:rsidR="00014566">
        <w:t xml:space="preserve"> OF ARTICLE 41 OF THE CONVENTION</w:t>
      </w:r>
    </w:p>
    <w:p w:rsidRPr="00062EE3" w:rsidR="00014566" w:rsidP="00062EE3" w:rsidRDefault="000C68C6">
      <w:pPr>
        <w:pStyle w:val="ECHRPara"/>
      </w:pPr>
      <w:r w:rsidRPr="00062EE3">
        <w:fldChar w:fldCharType="begin"/>
      </w:r>
      <w:r w:rsidRPr="00062EE3">
        <w:instrText xml:space="preserve"> SEQ level0 \*arabic </w:instrText>
      </w:r>
      <w:r w:rsidRPr="00062EE3">
        <w:fldChar w:fldCharType="separate"/>
      </w:r>
      <w:r w:rsidRPr="00062EE3" w:rsidR="00062EE3">
        <w:rPr>
          <w:noProof/>
        </w:rPr>
        <w:t>31</w:t>
      </w:r>
      <w:r w:rsidRPr="00062EE3">
        <w:fldChar w:fldCharType="end"/>
      </w:r>
      <w:r w:rsidRPr="00062EE3" w:rsidR="00014566">
        <w:t>.  Article 41 of the Convention provides:</w:t>
      </w:r>
    </w:p>
    <w:p w:rsidRPr="00062EE3" w:rsidR="00014566" w:rsidP="00062EE3" w:rsidRDefault="00014566">
      <w:pPr>
        <w:pStyle w:val="ECHRParaQuote"/>
        <w:keepNext/>
        <w:keepLines/>
      </w:pPr>
      <w:r w:rsidRPr="00062EE3">
        <w:t>“If the Court finds that there has been a violation of the Convention or the Protocols thereto, and if the internal law of the High Contracting Party concerned allows only partial reparation to be made, the Court shall, if necessary, afford just satisfaction to the injured party.”</w:t>
      </w:r>
    </w:p>
    <w:p w:rsidRPr="00062EE3" w:rsidR="00014566" w:rsidP="00062EE3" w:rsidRDefault="00014566">
      <w:pPr>
        <w:pStyle w:val="ECHRHeading2"/>
      </w:pPr>
      <w:r w:rsidRPr="00062EE3">
        <w:t>A.  Damage</w:t>
      </w:r>
    </w:p>
    <w:p w:rsidRPr="00062EE3" w:rsidR="00722481"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32</w:t>
      </w:r>
      <w:r w:rsidRPr="00062EE3">
        <w:rPr>
          <w:noProof/>
        </w:rPr>
        <w:fldChar w:fldCharType="end"/>
      </w:r>
      <w:r w:rsidRPr="00062EE3" w:rsidR="00014566">
        <w:t xml:space="preserve">.  The applicant claimed </w:t>
      </w:r>
      <w:r w:rsidRPr="00062EE3" w:rsidR="00722481">
        <w:t>55,962.45</w:t>
      </w:r>
      <w:r w:rsidRPr="00062EE3" w:rsidR="00014566">
        <w:t xml:space="preserve"> euros (EUR) in respect of pecuniary damage</w:t>
      </w:r>
      <w:r w:rsidRPr="00062EE3" w:rsidR="00CB3AC9">
        <w:t xml:space="preserve"> in her submissions dated 14 September 2014</w:t>
      </w:r>
      <w:r w:rsidRPr="00062EE3" w:rsidR="00014566">
        <w:t>.</w:t>
      </w:r>
      <w:r w:rsidRPr="00062EE3" w:rsidR="00722481">
        <w:t xml:space="preserve"> She contended that she had been deprived of a salary and her pension rights between 2000 and 2014.</w:t>
      </w:r>
      <w:r w:rsidRPr="00062EE3" w:rsidR="00CB3AC9">
        <w:t xml:space="preserve"> In that connection, she noted that when she had been employed at the </w:t>
      </w:r>
      <w:proofErr w:type="spellStart"/>
      <w:r w:rsidRPr="00062EE3" w:rsidR="00CB3AC9">
        <w:t>Kilis</w:t>
      </w:r>
      <w:proofErr w:type="spellEnd"/>
      <w:r w:rsidRPr="00062EE3" w:rsidR="00CB3AC9">
        <w:t xml:space="preserve"> branch of TEDAŞ</w:t>
      </w:r>
      <w:r w:rsidRPr="00062EE3" w:rsidR="00722481">
        <w:t xml:space="preserve"> </w:t>
      </w:r>
      <w:r w:rsidRPr="00062EE3" w:rsidR="00CB3AC9">
        <w:t xml:space="preserve">between 1 April 2003 and 19 March 2004, her salary had been EUR 139. </w:t>
      </w:r>
      <w:r w:rsidRPr="00062EE3" w:rsidR="00722481">
        <w:t>In support of her claim for pecuniary damage, the applicant submitted a table indicating the minimum wage scales between 1996 and 2014 and a document prepared by the Social Security Institution of Turkey indicating calculation of amounts concerning minimum wages. The applicant also claim</w:t>
      </w:r>
      <w:r w:rsidRPr="00062EE3" w:rsidR="00AD5398">
        <w:t>ed EUR 25,000 in respect of non</w:t>
      </w:r>
      <w:r w:rsidRPr="00062EE3" w:rsidR="00AD5398">
        <w:noBreakHyphen/>
      </w:r>
      <w:r w:rsidRPr="00062EE3" w:rsidR="00722481">
        <w:t>pecuniary damage.</w:t>
      </w:r>
    </w:p>
    <w:p w:rsidRPr="00062EE3" w:rsidR="00014566"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33</w:t>
      </w:r>
      <w:r w:rsidRPr="00062EE3">
        <w:rPr>
          <w:noProof/>
        </w:rPr>
        <w:fldChar w:fldCharType="end"/>
      </w:r>
      <w:r w:rsidRPr="00062EE3" w:rsidR="00014566">
        <w:t xml:space="preserve">.  The Government </w:t>
      </w:r>
      <w:r w:rsidRPr="00062EE3" w:rsidR="00722481">
        <w:t>contested those claims.</w:t>
      </w:r>
    </w:p>
    <w:p w:rsidRPr="00062EE3" w:rsidR="00680119"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34</w:t>
      </w:r>
      <w:r w:rsidRPr="00062EE3">
        <w:rPr>
          <w:noProof/>
        </w:rPr>
        <w:fldChar w:fldCharType="end"/>
      </w:r>
      <w:r w:rsidRPr="00062EE3" w:rsidR="00680119">
        <w:t xml:space="preserve">.  The Court notes that in the present case the applicant was dismissed from her post on account of her sex, which the Court has found to be discriminatory, in breach of Article 14 in conjunction with Article 8 of the Convention. The loss of her employment undoubtedly deprived the applicant of her main source of income. Hence, there is a direct causal link between the violation found and the pecuniary damage claimed, which has to be reimbursed in such a way as to restore, as far as possible, the situation existing before the breach (see, </w:t>
      </w:r>
      <w:r w:rsidRPr="00062EE3" w:rsidR="00680119">
        <w:rPr>
          <w:i/>
        </w:rPr>
        <w:t xml:space="preserve">inter alia, </w:t>
      </w:r>
      <w:proofErr w:type="spellStart"/>
      <w:r w:rsidRPr="00062EE3" w:rsidR="00680119">
        <w:rPr>
          <w:i/>
        </w:rPr>
        <w:t>Rainys</w:t>
      </w:r>
      <w:proofErr w:type="spellEnd"/>
      <w:r w:rsidRPr="00062EE3" w:rsidR="00680119">
        <w:rPr>
          <w:i/>
        </w:rPr>
        <w:t xml:space="preserve"> and </w:t>
      </w:r>
      <w:proofErr w:type="spellStart"/>
      <w:r w:rsidRPr="00062EE3" w:rsidR="00680119">
        <w:rPr>
          <w:i/>
        </w:rPr>
        <w:t>Gasparavičius</w:t>
      </w:r>
      <w:proofErr w:type="spellEnd"/>
      <w:r w:rsidRPr="00062EE3" w:rsidR="00680119">
        <w:rPr>
          <w:i/>
        </w:rPr>
        <w:t xml:space="preserve"> v. Lithuania</w:t>
      </w:r>
      <w:r w:rsidRPr="00062EE3" w:rsidR="00680119">
        <w:t>, nos. 70665/01 and 74345/01, § 45, 7 April 2005). However, the Court notes that a precise calculation of the sums necessary to make complete reparation (</w:t>
      </w:r>
      <w:proofErr w:type="spellStart"/>
      <w:r w:rsidRPr="00062EE3" w:rsidR="00680119">
        <w:rPr>
          <w:i/>
        </w:rPr>
        <w:t>restitutio</w:t>
      </w:r>
      <w:proofErr w:type="spellEnd"/>
      <w:r w:rsidRPr="00062EE3" w:rsidR="00680119">
        <w:rPr>
          <w:i/>
        </w:rPr>
        <w:t xml:space="preserve"> in </w:t>
      </w:r>
      <w:proofErr w:type="spellStart"/>
      <w:r w:rsidRPr="00062EE3" w:rsidR="00680119">
        <w:rPr>
          <w:i/>
        </w:rPr>
        <w:t>integrum</w:t>
      </w:r>
      <w:proofErr w:type="spellEnd"/>
      <w:r w:rsidRPr="00062EE3" w:rsidR="00680119">
        <w:t xml:space="preserve">) in respect of the pecuniary loss suffered by the applicant is prevented by the inherently uncertain character of the damage flowing from the violations. This is particularly so in relation to the question of how long the applicant would have remained in TEDAŞ had it not been for her dismissal. Nevertheless, an award may still be made notwithstanding the large number of imponderables involved in the assessment of future losses, though the greater the lapse of time involved the more uncertain the link becomes between the breach and the damage. The question to be decided in such cases is the level of just satisfaction, in respect of both past and future pecuniary loss, which it is necessary to award to each applicant, the matter to be determined by the Court at its discretion, having regard to what is equitable (see </w:t>
      </w:r>
      <w:proofErr w:type="spellStart"/>
      <w:r w:rsidRPr="00062EE3" w:rsidR="00680119">
        <w:rPr>
          <w:i/>
        </w:rPr>
        <w:t>Lustig-Prean</w:t>
      </w:r>
      <w:proofErr w:type="spellEnd"/>
      <w:r w:rsidRPr="00062EE3" w:rsidR="00680119">
        <w:rPr>
          <w:i/>
        </w:rPr>
        <w:t xml:space="preserve"> and Beckett v. the</w:t>
      </w:r>
      <w:r w:rsidRPr="00062EE3" w:rsidR="00AD5398">
        <w:rPr>
          <w:i/>
        </w:rPr>
        <w:t> </w:t>
      </w:r>
      <w:r w:rsidRPr="00062EE3" w:rsidR="00680119">
        <w:rPr>
          <w:i/>
        </w:rPr>
        <w:t>United Kingdom</w:t>
      </w:r>
      <w:r w:rsidRPr="00062EE3" w:rsidR="00680119">
        <w:t xml:space="preserve"> (just satisfaction), nos. 31417/96 and 32377/96, §§ 22-23, 25 July 2000, and </w:t>
      </w:r>
      <w:r w:rsidRPr="00062EE3" w:rsidR="00680119">
        <w:rPr>
          <w:i/>
        </w:rPr>
        <w:t>Smith and Grady v. the United Kingdom</w:t>
      </w:r>
      <w:r w:rsidRPr="00062EE3" w:rsidR="00680119">
        <w:t xml:space="preserve"> (just satisfaction), nos. 33985/96 and 33986/96, §§ 18-19, ECHR 2000</w:t>
      </w:r>
      <w:r w:rsidRPr="00062EE3" w:rsidR="00680119">
        <w:noBreakHyphen/>
        <w:t>IX).</w:t>
      </w:r>
    </w:p>
    <w:p w:rsidRPr="00062EE3" w:rsidR="00680119"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35</w:t>
      </w:r>
      <w:r w:rsidRPr="00062EE3">
        <w:rPr>
          <w:noProof/>
        </w:rPr>
        <w:fldChar w:fldCharType="end"/>
      </w:r>
      <w:r w:rsidRPr="00062EE3" w:rsidR="00680119">
        <w:t xml:space="preserve">.  The Court notes that the applicant did not provide information to the Court as to how long she had remained unemployed after she had been dismissed from her position in TEDAŞ or whether she had taken any steps to mitigate her loss of earnings. The Court therefore finds it difficult to ascertain the precise amount of pecuniary damage which ensued. At the same time, it considers that the applicant would have been able to work as a security officer at least between 27 June 2000 (the date on which she was </w:t>
      </w:r>
      <w:r w:rsidRPr="00062EE3" w:rsidR="00A55EA2">
        <w:t xml:space="preserve">notified that she had been appointed to the post of security officer in the </w:t>
      </w:r>
      <w:proofErr w:type="spellStart"/>
      <w:r w:rsidRPr="00062EE3" w:rsidR="00A55EA2">
        <w:t>Kilis</w:t>
      </w:r>
      <w:proofErr w:type="spellEnd"/>
      <w:r w:rsidRPr="00062EE3" w:rsidR="00A55EA2">
        <w:t xml:space="preserve"> branch of TEDAŞ</w:t>
      </w:r>
      <w:r w:rsidRPr="00062EE3" w:rsidR="00680119">
        <w:t>) and 1 April 2003 (the date on which she started working subsequent to the first-instance court</w:t>
      </w:r>
      <w:r w:rsidRPr="00062EE3" w:rsidR="00062EE3">
        <w:t>’</w:t>
      </w:r>
      <w:r w:rsidRPr="00062EE3" w:rsidR="00680119">
        <w:t>s judgment in her favour). Moreover, had the administrative courts prevented the violation found under Article</w:t>
      </w:r>
      <w:r w:rsidRPr="00062EE3" w:rsidR="00AD5398">
        <w:t> </w:t>
      </w:r>
      <w:r w:rsidRPr="00062EE3" w:rsidR="00680119">
        <w:t>14 in conjunction with Article 8 of the Convention, the applicant would have been able to obtain redress for her loss of income concerning the period starting from her dismissal until the date of the final judgment in the domestic proceedings. The Court also considers that the applicant must have sustained non-pecuniary damage which the finding of a violation of the Convention in this judgment does not suffice to remedy. Therefore, taking into account the number of imponderables involved in the assessment of the applicant</w:t>
      </w:r>
      <w:r w:rsidRPr="00062EE3" w:rsidR="00062EE3">
        <w:t>’</w:t>
      </w:r>
      <w:r w:rsidRPr="00062EE3" w:rsidR="00680119">
        <w:t>s loss of earnings and in the light of all the information in its possession, the Court decides on an equitable basis to award the applicant an aggregate sum of EUR 11,000 under all heads of damage combined, plus any tax that may be chargeable on that amount.</w:t>
      </w:r>
    </w:p>
    <w:p w:rsidRPr="00062EE3" w:rsidR="00014566" w:rsidP="00062EE3" w:rsidRDefault="00014566">
      <w:pPr>
        <w:pStyle w:val="ECHRHeading2"/>
      </w:pPr>
      <w:r w:rsidRPr="00062EE3">
        <w:t>B.  Costs and expenses</w:t>
      </w:r>
    </w:p>
    <w:p w:rsidRPr="00062EE3" w:rsidR="00014566" w:rsidP="00062EE3" w:rsidRDefault="000C68C6">
      <w:pPr>
        <w:pStyle w:val="ECHRPara"/>
      </w:pPr>
      <w:r w:rsidRPr="00062EE3">
        <w:fldChar w:fldCharType="begin"/>
      </w:r>
      <w:r w:rsidRPr="00062EE3">
        <w:instrText xml:space="preserve"> SEQ level0 \*arabic </w:instrText>
      </w:r>
      <w:r w:rsidRPr="00062EE3">
        <w:fldChar w:fldCharType="separate"/>
      </w:r>
      <w:r w:rsidRPr="00062EE3" w:rsidR="00062EE3">
        <w:rPr>
          <w:noProof/>
        </w:rPr>
        <w:t>36</w:t>
      </w:r>
      <w:r w:rsidRPr="00062EE3">
        <w:fldChar w:fldCharType="end"/>
      </w:r>
      <w:r w:rsidRPr="00062EE3" w:rsidR="00014566">
        <w:t xml:space="preserve">.  The applicant also claimed EUR </w:t>
      </w:r>
      <w:r w:rsidRPr="00062EE3" w:rsidR="009772F3">
        <w:t>6769</w:t>
      </w:r>
      <w:proofErr w:type="gramStart"/>
      <w:r w:rsidRPr="00062EE3" w:rsidR="009772F3">
        <w:t>,11</w:t>
      </w:r>
      <w:proofErr w:type="gramEnd"/>
      <w:r w:rsidRPr="00062EE3" w:rsidR="00014566">
        <w:t xml:space="preserve"> for </w:t>
      </w:r>
      <w:r w:rsidRPr="00062EE3" w:rsidR="009772F3">
        <w:t>his lawyer</w:t>
      </w:r>
      <w:r w:rsidRPr="00062EE3" w:rsidR="00062EE3">
        <w:t>’</w:t>
      </w:r>
      <w:r w:rsidRPr="00062EE3" w:rsidR="009772F3">
        <w:t>s fee</w:t>
      </w:r>
      <w:r w:rsidRPr="00062EE3" w:rsidR="00014566">
        <w:t xml:space="preserve"> incurred before the domestic courts and for those incurred before the Court.</w:t>
      </w:r>
      <w:r w:rsidRPr="00062EE3" w:rsidR="003979AC">
        <w:t xml:space="preserve"> In support of his claim the applicant submitted the Turkish Bar Association</w:t>
      </w:r>
      <w:r w:rsidRPr="00062EE3" w:rsidR="00062EE3">
        <w:t>’</w:t>
      </w:r>
      <w:r w:rsidRPr="00062EE3" w:rsidR="003979AC">
        <w:t>s scale of fees.</w:t>
      </w:r>
    </w:p>
    <w:p w:rsidRPr="00062EE3" w:rsidR="00014566" w:rsidP="00062EE3" w:rsidRDefault="000C68C6">
      <w:pPr>
        <w:pStyle w:val="ECHRPara"/>
      </w:pPr>
      <w:r w:rsidRPr="00062EE3">
        <w:fldChar w:fldCharType="begin"/>
      </w:r>
      <w:r w:rsidRPr="00062EE3">
        <w:instrText xml:space="preserve"> SEQ level0 \*arabic </w:instrText>
      </w:r>
      <w:r w:rsidRPr="00062EE3">
        <w:fldChar w:fldCharType="separate"/>
      </w:r>
      <w:r w:rsidRPr="00062EE3" w:rsidR="00062EE3">
        <w:rPr>
          <w:noProof/>
        </w:rPr>
        <w:t>37</w:t>
      </w:r>
      <w:r w:rsidRPr="00062EE3">
        <w:fldChar w:fldCharType="end"/>
      </w:r>
      <w:r w:rsidRPr="00062EE3" w:rsidR="00014566">
        <w:t xml:space="preserve">.  The Government </w:t>
      </w:r>
      <w:r w:rsidRPr="00062EE3" w:rsidR="009772F3">
        <w:t>contested that claim.</w:t>
      </w:r>
    </w:p>
    <w:p w:rsidRPr="00062EE3" w:rsidR="00A55EA2" w:rsidP="00062EE3" w:rsidRDefault="00783ABD">
      <w:pPr>
        <w:pStyle w:val="ECHRPara"/>
      </w:pPr>
      <w:r w:rsidRPr="00062EE3">
        <w:fldChar w:fldCharType="begin"/>
      </w:r>
      <w:r w:rsidRPr="00062EE3">
        <w:instrText xml:space="preserve"> SEQ level0 \*arabic </w:instrText>
      </w:r>
      <w:r w:rsidRPr="00062EE3">
        <w:fldChar w:fldCharType="separate"/>
      </w:r>
      <w:r w:rsidRPr="00062EE3" w:rsidR="00062EE3">
        <w:rPr>
          <w:noProof/>
        </w:rPr>
        <w:t>38</w:t>
      </w:r>
      <w:r w:rsidRPr="00062EE3">
        <w:rPr>
          <w:noProof/>
        </w:rPr>
        <w:fldChar w:fldCharType="end"/>
      </w:r>
      <w:r w:rsidRPr="00062EE3" w:rsidR="00F601AA">
        <w:t>.  </w:t>
      </w:r>
      <w:r w:rsidRPr="00062EE3" w:rsidR="00A55EA2">
        <w:t>In accordance with the Court</w:t>
      </w:r>
      <w:r w:rsidRPr="00062EE3" w:rsidR="00062EE3">
        <w:t>’</w:t>
      </w:r>
      <w:r w:rsidRPr="00062EE3" w:rsidR="00A55EA2">
        <w:t xml:space="preserve">s case-law, an applicant is entitled to reimbursement of his costs and expenses only in so far as it has been shown that these have been actually and necessarily incurred and </w:t>
      </w:r>
      <w:proofErr w:type="gramStart"/>
      <w:r w:rsidRPr="00062EE3" w:rsidR="00A55EA2">
        <w:t>were</w:t>
      </w:r>
      <w:proofErr w:type="gramEnd"/>
      <w:r w:rsidRPr="00062EE3" w:rsidR="00A55EA2">
        <w:t xml:space="preserve"> reasonable as to quantum. In the present case, the Court notes that the applicant merely referred to the Istanbul Bar Association</w:t>
      </w:r>
      <w:r w:rsidRPr="00062EE3" w:rsidR="00062EE3">
        <w:t>’</w:t>
      </w:r>
      <w:r w:rsidRPr="00062EE3" w:rsidR="00A55EA2">
        <w:t xml:space="preserve">s scale of fees and failed to submit any supporting documents. In those circumstances, and bearing in mind the terms of Rule 60 § 2 and 3 of its Rules, the Court makes no award in respect of the costs and expenses claimed by the applicant (see, </w:t>
      </w:r>
      <w:r w:rsidRPr="00062EE3" w:rsidR="00A55EA2">
        <w:rPr>
          <w:i/>
        </w:rPr>
        <w:t xml:space="preserve">inter alia, Hasan </w:t>
      </w:r>
      <w:proofErr w:type="spellStart"/>
      <w:r w:rsidRPr="00062EE3" w:rsidR="00A55EA2">
        <w:rPr>
          <w:i/>
        </w:rPr>
        <w:t>Döner</w:t>
      </w:r>
      <w:proofErr w:type="spellEnd"/>
      <w:r w:rsidRPr="00062EE3" w:rsidR="00A55EA2">
        <w:t xml:space="preserve"> </w:t>
      </w:r>
      <w:r w:rsidRPr="00062EE3" w:rsidR="00A55EA2">
        <w:rPr>
          <w:i/>
        </w:rPr>
        <w:t>v. Turkey</w:t>
      </w:r>
      <w:r w:rsidRPr="00062EE3" w:rsidR="00A55EA2">
        <w:t>, no. 53546/99, §§ 59</w:t>
      </w:r>
      <w:r w:rsidRPr="00062EE3" w:rsidR="00A55EA2">
        <w:noBreakHyphen/>
        <w:t>61, 20 November 2007, and</w:t>
      </w:r>
      <w:r w:rsidRPr="00062EE3" w:rsidR="00A55EA2">
        <w:rPr>
          <w:i/>
        </w:rPr>
        <w:t xml:space="preserve"> Yılmaz Yıldız</w:t>
      </w:r>
      <w:r w:rsidRPr="00062EE3" w:rsidR="00A55EA2">
        <w:t xml:space="preserve"> </w:t>
      </w:r>
      <w:r w:rsidRPr="00062EE3" w:rsidR="00A55EA2">
        <w:rPr>
          <w:i/>
        </w:rPr>
        <w:t>and Others v. Turkey</w:t>
      </w:r>
      <w:r w:rsidRPr="00062EE3" w:rsidR="00A55EA2">
        <w:t>, no. 4524/06</w:t>
      </w:r>
      <w:r w:rsidRPr="00062EE3" w:rsidR="00A55EA2">
        <w:rPr>
          <w:snapToGrid w:val="0"/>
        </w:rPr>
        <w:t>, § 57, 14 October 2014)</w:t>
      </w:r>
      <w:r w:rsidRPr="00062EE3" w:rsidR="00A55EA2">
        <w:t>.</w:t>
      </w:r>
    </w:p>
    <w:p w:rsidRPr="00062EE3" w:rsidR="00014566" w:rsidP="00062EE3" w:rsidRDefault="00014566">
      <w:pPr>
        <w:pStyle w:val="ECHRHeading2"/>
      </w:pPr>
      <w:r w:rsidRPr="00062EE3">
        <w:t>C.  Default interest</w:t>
      </w:r>
    </w:p>
    <w:p w:rsidRPr="00062EE3" w:rsidR="00014566" w:rsidP="00062EE3" w:rsidRDefault="000C68C6">
      <w:pPr>
        <w:pStyle w:val="ECHRPara"/>
      </w:pPr>
      <w:r w:rsidRPr="00062EE3">
        <w:fldChar w:fldCharType="begin"/>
      </w:r>
      <w:r w:rsidRPr="00062EE3">
        <w:instrText xml:space="preserve"> SEQ level0 \*arabic </w:instrText>
      </w:r>
      <w:r w:rsidRPr="00062EE3">
        <w:fldChar w:fldCharType="separate"/>
      </w:r>
      <w:r w:rsidRPr="00062EE3" w:rsidR="00062EE3">
        <w:rPr>
          <w:noProof/>
        </w:rPr>
        <w:t>39</w:t>
      </w:r>
      <w:r w:rsidRPr="00062EE3">
        <w:fldChar w:fldCharType="end"/>
      </w:r>
      <w:r w:rsidRPr="00062EE3" w:rsidR="00014566">
        <w:t>.  The Court considers it appropriate that the default interest rate should be based on the marginal lending rate of the European Central Bank, to which should be added three percentage points.</w:t>
      </w:r>
    </w:p>
    <w:p w:rsidRPr="00062EE3" w:rsidR="00014566" w:rsidP="00062EE3" w:rsidRDefault="00BB5883">
      <w:pPr>
        <w:pStyle w:val="ECHRTitle1"/>
      </w:pPr>
      <w:r w:rsidRPr="00062EE3">
        <w:t>FOR THESE REASONS, THE COURT</w:t>
      </w:r>
      <w:r w:rsidRPr="00062EE3" w:rsidR="000C68C6">
        <w:t>, UNANIMOUSLY,</w:t>
      </w:r>
    </w:p>
    <w:p w:rsidRPr="00062EE3" w:rsidR="00B637B9" w:rsidP="00062EE3" w:rsidRDefault="00B637B9">
      <w:pPr>
        <w:pStyle w:val="JuList"/>
      </w:pPr>
      <w:r w:rsidRPr="00062EE3">
        <w:t>1.  </w:t>
      </w:r>
      <w:proofErr w:type="gramStart"/>
      <w:r w:rsidRPr="00062EE3">
        <w:rPr>
          <w:i/>
        </w:rPr>
        <w:t>Declares</w:t>
      </w:r>
      <w:proofErr w:type="gramEnd"/>
      <w:r w:rsidRPr="00062EE3">
        <w:rPr>
          <w:color w:val="000000"/>
        </w:rPr>
        <w:t xml:space="preserve"> </w:t>
      </w:r>
      <w:r w:rsidRPr="00062EE3">
        <w:t xml:space="preserve">the </w:t>
      </w:r>
      <w:r w:rsidRPr="00062EE3" w:rsidR="000C68C6">
        <w:t>application</w:t>
      </w:r>
      <w:r w:rsidRPr="00062EE3">
        <w:t xml:space="preserve"> admissible;</w:t>
      </w:r>
    </w:p>
    <w:p w:rsidRPr="00062EE3" w:rsidR="00B637B9" w:rsidP="00062EE3" w:rsidRDefault="00B637B9">
      <w:pPr>
        <w:pStyle w:val="JuList"/>
        <w:jc w:val="center"/>
      </w:pPr>
    </w:p>
    <w:p w:rsidRPr="00062EE3" w:rsidR="00014566" w:rsidP="00062EE3" w:rsidRDefault="003979AC">
      <w:pPr>
        <w:pStyle w:val="JuList"/>
      </w:pPr>
      <w:r w:rsidRPr="00062EE3">
        <w:t>2</w:t>
      </w:r>
      <w:r w:rsidRPr="00062EE3" w:rsidR="00014566">
        <w:t>.  </w:t>
      </w:r>
      <w:proofErr w:type="gramStart"/>
      <w:r w:rsidRPr="00062EE3" w:rsidR="00014566">
        <w:rPr>
          <w:i/>
        </w:rPr>
        <w:t>Holds</w:t>
      </w:r>
      <w:proofErr w:type="gramEnd"/>
      <w:r w:rsidRPr="00062EE3" w:rsidR="00014566">
        <w:rPr>
          <w:color w:val="000000"/>
        </w:rPr>
        <w:t xml:space="preserve"> </w:t>
      </w:r>
      <w:r w:rsidRPr="00062EE3" w:rsidR="00014566">
        <w:t xml:space="preserve">that there has been a violation of </w:t>
      </w:r>
      <w:r w:rsidRPr="00062EE3">
        <w:t>Article 14 of the Convention, in conjunction with Article 8 of the Convention</w:t>
      </w:r>
      <w:r w:rsidRPr="00062EE3" w:rsidR="00014566">
        <w:t>;</w:t>
      </w:r>
    </w:p>
    <w:p w:rsidRPr="00062EE3" w:rsidR="00014566" w:rsidP="00062EE3" w:rsidRDefault="00014566">
      <w:pPr>
        <w:pStyle w:val="JuList"/>
      </w:pPr>
    </w:p>
    <w:p w:rsidRPr="00062EE3" w:rsidR="00D861E6" w:rsidP="00062EE3" w:rsidRDefault="003979AC">
      <w:pPr>
        <w:pStyle w:val="JuList"/>
      </w:pPr>
      <w:r w:rsidRPr="00062EE3">
        <w:t>3</w:t>
      </w:r>
      <w:r w:rsidRPr="00062EE3" w:rsidR="00014566">
        <w:t>.  </w:t>
      </w:r>
      <w:r w:rsidRPr="00062EE3" w:rsidR="00014566">
        <w:rPr>
          <w:i/>
        </w:rPr>
        <w:t>Holds</w:t>
      </w:r>
    </w:p>
    <w:p w:rsidRPr="00062EE3" w:rsidR="00014566" w:rsidP="00062EE3" w:rsidRDefault="00014566">
      <w:pPr>
        <w:pStyle w:val="JuLista"/>
      </w:pPr>
      <w:r w:rsidRPr="00062EE3">
        <w:t>(a)  that the respondent State is to pay the applicant</w:t>
      </w:r>
      <w:r w:rsidRPr="00062EE3" w:rsidR="00680119">
        <w:t xml:space="preserve"> within three months</w:t>
      </w:r>
      <w:r w:rsidRPr="00062EE3">
        <w:t xml:space="preserve">, </w:t>
      </w:r>
      <w:r w:rsidRPr="00062EE3" w:rsidR="00680119">
        <w:t xml:space="preserve">EUR 11,000 (eleven thousand euros), plus any tax that may be chargeable, in respect of pecuniary and non-pecuniary damage, </w:t>
      </w:r>
      <w:r w:rsidRPr="00062EE3">
        <w:t xml:space="preserve">to be converted into </w:t>
      </w:r>
      <w:r w:rsidRPr="00062EE3">
        <w:rPr>
          <w:color w:val="000000"/>
        </w:rPr>
        <w:t>the currency of the respondent State</w:t>
      </w:r>
      <w:r w:rsidRPr="00062EE3">
        <w:t xml:space="preserve"> at the rate applicable at the date of settlement</w:t>
      </w:r>
      <w:r w:rsidRPr="00062EE3" w:rsidR="00680119">
        <w:t>;</w:t>
      </w:r>
    </w:p>
    <w:p w:rsidRPr="00062EE3" w:rsidR="00014566" w:rsidP="00062EE3" w:rsidRDefault="00014566">
      <w:pPr>
        <w:pStyle w:val="JuLista"/>
      </w:pPr>
      <w:r w:rsidRPr="00062EE3">
        <w:t>(b)  that from the expiry of the above-mentioned three months until settlement simple interest shall be payable on the above amounts at a rate equal to the marginal lending rate of the European Central Bank during the default period plus three percentage points;</w:t>
      </w:r>
    </w:p>
    <w:p w:rsidRPr="00062EE3" w:rsidR="00014566" w:rsidP="00062EE3" w:rsidRDefault="00014566">
      <w:pPr>
        <w:pStyle w:val="JuList"/>
      </w:pPr>
    </w:p>
    <w:p w:rsidRPr="00062EE3" w:rsidR="00014566" w:rsidP="00062EE3" w:rsidRDefault="003979AC">
      <w:pPr>
        <w:pStyle w:val="JuList"/>
      </w:pPr>
      <w:r w:rsidRPr="00062EE3">
        <w:t>4</w:t>
      </w:r>
      <w:r w:rsidRPr="00062EE3" w:rsidR="00014566">
        <w:t>.  </w:t>
      </w:r>
      <w:r w:rsidRPr="00062EE3" w:rsidR="00014566">
        <w:rPr>
          <w:i/>
        </w:rPr>
        <w:t>Dismisses</w:t>
      </w:r>
      <w:r w:rsidRPr="00062EE3" w:rsidR="00014566">
        <w:rPr>
          <w:color w:val="000000"/>
        </w:rPr>
        <w:t xml:space="preserve"> </w:t>
      </w:r>
      <w:r w:rsidRPr="00062EE3" w:rsidR="00014566">
        <w:t>the remainder of the applicant</w:t>
      </w:r>
      <w:r w:rsidRPr="00062EE3" w:rsidR="00062EE3">
        <w:t>’</w:t>
      </w:r>
      <w:r w:rsidRPr="00062EE3" w:rsidR="000C68C6">
        <w:t>s</w:t>
      </w:r>
      <w:r w:rsidRPr="00062EE3" w:rsidR="00014566">
        <w:t xml:space="preserve"> claim for just satisfaction.</w:t>
      </w:r>
    </w:p>
    <w:p w:rsidRPr="00062EE3" w:rsidR="00014566" w:rsidP="00062EE3" w:rsidRDefault="00014566">
      <w:pPr>
        <w:pStyle w:val="JuParaLast"/>
      </w:pPr>
      <w:r w:rsidRPr="00062EE3">
        <w:t xml:space="preserve">Done in English, and notified in writing on </w:t>
      </w:r>
      <w:r w:rsidRPr="00062EE3" w:rsidR="00C51708">
        <w:t>25 September 2018</w:t>
      </w:r>
      <w:r w:rsidRPr="00062EE3" w:rsidR="00C915FB">
        <w:t>, pursuant to Rule </w:t>
      </w:r>
      <w:r w:rsidRPr="00062EE3">
        <w:t>77</w:t>
      </w:r>
      <w:r w:rsidRPr="00062EE3" w:rsidR="00C915FB">
        <w:t> </w:t>
      </w:r>
      <w:r w:rsidRPr="00062EE3">
        <w:t>§§</w:t>
      </w:r>
      <w:r w:rsidRPr="00062EE3" w:rsidR="00C915FB">
        <w:t> </w:t>
      </w:r>
      <w:r w:rsidRPr="00062EE3">
        <w:t>2 and 3 of the Rules of Court.</w:t>
      </w:r>
    </w:p>
    <w:p w:rsidRPr="00062EE3" w:rsidR="004D15F3" w:rsidP="00062EE3" w:rsidRDefault="00014566">
      <w:pPr>
        <w:pStyle w:val="JuSigned"/>
      </w:pPr>
      <w:r w:rsidRPr="00062EE3">
        <w:tab/>
      </w:r>
      <w:r w:rsidRPr="00062EE3" w:rsidR="000C68C6">
        <w:t>Hasan Bakırcı</w:t>
      </w:r>
      <w:r w:rsidRPr="00062EE3">
        <w:tab/>
      </w:r>
      <w:proofErr w:type="spellStart"/>
      <w:r w:rsidRPr="00062EE3" w:rsidR="00783ABD">
        <w:t>Ledi</w:t>
      </w:r>
      <w:proofErr w:type="spellEnd"/>
      <w:r w:rsidRPr="00062EE3" w:rsidR="00783ABD">
        <w:t xml:space="preserve"> </w:t>
      </w:r>
      <w:proofErr w:type="spellStart"/>
      <w:r w:rsidRPr="00062EE3" w:rsidR="00783ABD">
        <w:t>Bianku</w:t>
      </w:r>
      <w:proofErr w:type="spellEnd"/>
      <w:r w:rsidRPr="00062EE3" w:rsidR="00E1557C">
        <w:rPr>
          <w:szCs w:val="24"/>
        </w:rPr>
        <w:br/>
      </w:r>
      <w:r w:rsidRPr="00062EE3">
        <w:tab/>
      </w:r>
      <w:r w:rsidRPr="00062EE3" w:rsidR="000C68C6">
        <w:t xml:space="preserve">Deputy </w:t>
      </w:r>
      <w:r w:rsidRPr="00062EE3" w:rsidR="000C68C6">
        <w:rPr>
          <w:iCs/>
        </w:rPr>
        <w:t>Registrar</w:t>
      </w:r>
      <w:r w:rsidRPr="00062EE3">
        <w:tab/>
        <w:t>President</w:t>
      </w:r>
    </w:p>
    <w:sectPr w:rsidRPr="00062EE3" w:rsidR="004D15F3" w:rsidSect="000C2D8A">
      <w:headerReference w:type="even" r:id="rId11"/>
      <w:headerReference w:type="default" r:id="rId12"/>
      <w:footnotePr>
        <w:numRestart w:val="eachSect"/>
      </w:footnotePr>
      <w:pgSz w:w="11906" w:h="16838" w:code="9"/>
      <w:pgMar w:top="2274" w:right="2274" w:bottom="2274" w:left="2274" w:header="1701" w:footer="720"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7D5B" w:rsidRPr="00E4133A" w:rsidRDefault="00FC7D5B" w:rsidP="00014566">
      <w:r w:rsidRPr="00E4133A">
        <w:separator/>
      </w:r>
    </w:p>
  </w:endnote>
  <w:endnote w:type="continuationSeparator" w:id="0">
    <w:p w:rsidR="00FC7D5B" w:rsidRPr="00E4133A" w:rsidRDefault="00FC7D5B" w:rsidP="00014566">
      <w:r w:rsidRPr="00E4133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D8A" w:rsidRPr="00150BFA" w:rsidRDefault="000C2D8A" w:rsidP="0020718E">
    <w:pPr>
      <w:jc w:val="center"/>
    </w:pPr>
    <w:r>
      <w:rPr>
        <w:noProof/>
        <w:lang w:val="en-US" w:eastAsia="ja-JP"/>
      </w:rPr>
      <w:drawing>
        <wp:inline distT="0" distB="0" distL="0" distR="0" wp14:anchorId="01CE70B9" wp14:editId="67C71ACF">
          <wp:extent cx="771525" cy="619125"/>
          <wp:effectExtent l="0" t="0" r="9525" b="9525"/>
          <wp:docPr id="11" name="Picture 11" descr="R:\1_Graphics&amp;Web\Court_Graphic_Charter\2013\ECHR_Stationery\Documents_and_Letters\Cover_Pages_And_Docs\White_600_dpi\ECHR_CoverpageCS61_ECHR_Coverpage_Footer_COE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1_Graphics&amp;Web\Court_Graphic_Charter\2013\ECHR_Stationery\Documents_and_Letters\Cover_Pages_And_Docs\White_600_dpi\ECHR_CoverpageCS61_ECHR_Coverpage_Footer_COE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1525" cy="619125"/>
                  </a:xfrm>
                  <a:prstGeom prst="rect">
                    <a:avLst/>
                  </a:prstGeom>
                  <a:noFill/>
                  <a:ln>
                    <a:noFill/>
                  </a:ln>
                </pic:spPr>
              </pic:pic>
            </a:graphicData>
          </a:graphic>
        </wp:inline>
      </w:drawing>
    </w:r>
  </w:p>
  <w:p w:rsidR="000C2D8A" w:rsidRDefault="000C2D8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7D5B" w:rsidRPr="00E4133A" w:rsidRDefault="00FC7D5B" w:rsidP="00014566">
      <w:r w:rsidRPr="00E4133A">
        <w:separator/>
      </w:r>
    </w:p>
  </w:footnote>
  <w:footnote w:type="continuationSeparator" w:id="0">
    <w:p w:rsidR="00FC7D5B" w:rsidRPr="00E4133A" w:rsidRDefault="00FC7D5B" w:rsidP="00014566">
      <w:r w:rsidRPr="00E4133A">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7D5B" w:rsidRPr="000C2D8A" w:rsidRDefault="00FC7D5B" w:rsidP="000C2D8A">
    <w:pPr>
      <w:pStyle w:val="Header"/>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D8A" w:rsidRPr="00A45145" w:rsidRDefault="000C2D8A" w:rsidP="00A45145">
    <w:pPr>
      <w:jc w:val="center"/>
    </w:pPr>
    <w:r>
      <w:rPr>
        <w:noProof/>
        <w:lang w:val="en-US" w:eastAsia="ja-JP"/>
      </w:rPr>
      <w:drawing>
        <wp:inline distT="0" distB="0" distL="0" distR="0" wp14:anchorId="15A5A723" wp14:editId="0F09B0C0">
          <wp:extent cx="2962275" cy="1219200"/>
          <wp:effectExtent l="0" t="0" r="9525" b="0"/>
          <wp:docPr id="6" name="Picture 6" descr="R:\1_Graphics&amp;Web\Court_Graphic_Charter\2013\ECHR_Stationery\Documents_and_Letters\Cover_Pages_And_Docs\White_600_dpi\ECHR_CoverpageCS61_ECHR_Coverpage_Header_Black.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1_Graphics&amp;Web\Court_Graphic_Charter\2013\ECHR_Stationery\Documents_and_Letters\Cover_Pages_And_Docs\White_600_dpi\ECHR_CoverpageCS61_ECHR_Coverpage_Header_Black.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275" cy="1219200"/>
                  </a:xfrm>
                  <a:prstGeom prst="rect">
                    <a:avLst/>
                  </a:prstGeom>
                  <a:noFill/>
                  <a:ln>
                    <a:noFill/>
                  </a:ln>
                </pic:spPr>
              </pic:pic>
            </a:graphicData>
          </a:graphic>
        </wp:inline>
      </w:drawing>
    </w:r>
  </w:p>
  <w:p w:rsidR="000C2D8A" w:rsidRDefault="000C2D8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D8A" w:rsidRPr="00E4133A" w:rsidRDefault="000C2D8A" w:rsidP="00EE1DA9">
    <w:pPr>
      <w:pStyle w:val="ECHRHeader"/>
    </w:pPr>
    <w:r>
      <w:rPr>
        <w:rStyle w:val="PageNumber"/>
        <w:szCs w:val="18"/>
      </w:rPr>
      <w:fldChar w:fldCharType="begin"/>
    </w:r>
    <w:r>
      <w:rPr>
        <w:rStyle w:val="PageNumber"/>
        <w:szCs w:val="18"/>
      </w:rPr>
      <w:instrText xml:space="preserve"> PAGE </w:instrText>
    </w:r>
    <w:r>
      <w:rPr>
        <w:rStyle w:val="PageNumber"/>
        <w:szCs w:val="18"/>
      </w:rPr>
      <w:fldChar w:fldCharType="separate"/>
    </w:r>
    <w:r w:rsidR="00062EE3">
      <w:rPr>
        <w:rStyle w:val="PageNumber"/>
        <w:noProof/>
        <w:szCs w:val="18"/>
      </w:rPr>
      <w:t>6</w:t>
    </w:r>
    <w:r>
      <w:rPr>
        <w:rStyle w:val="PageNumber"/>
        <w:szCs w:val="18"/>
      </w:rPr>
      <w:fldChar w:fldCharType="end"/>
    </w:r>
    <w:r w:rsidRPr="00E4133A">
      <w:tab/>
    </w:r>
    <w:r>
      <w:t>CAN v. TURKEY</w:t>
    </w:r>
    <w:r w:rsidRPr="00E4133A">
      <w:t xml:space="preserve"> </w:t>
    </w:r>
    <w:r>
      <w:t>JUDGMENT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2D8A" w:rsidRPr="00E4133A" w:rsidRDefault="000C2D8A" w:rsidP="00D60D87">
    <w:pPr>
      <w:pStyle w:val="ECHRHeader"/>
    </w:pPr>
    <w:r w:rsidRPr="00E4133A">
      <w:tab/>
    </w:r>
    <w:r>
      <w:t>CAN v. TURKEY</w:t>
    </w:r>
    <w:r w:rsidRPr="00E4133A">
      <w:t xml:space="preserve"> </w:t>
    </w:r>
    <w:r>
      <w:t>JUDGMENT</w:t>
    </w:r>
    <w:r w:rsidRPr="00E4133A">
      <w:tab/>
    </w:r>
    <w:r>
      <w:rPr>
        <w:rStyle w:val="PageNumber"/>
        <w:szCs w:val="18"/>
      </w:rPr>
      <w:fldChar w:fldCharType="begin"/>
    </w:r>
    <w:r>
      <w:rPr>
        <w:rStyle w:val="PageNumber"/>
        <w:szCs w:val="18"/>
      </w:rPr>
      <w:instrText xml:space="preserve"> PAGE </w:instrText>
    </w:r>
    <w:r>
      <w:rPr>
        <w:rStyle w:val="PageNumber"/>
        <w:szCs w:val="18"/>
      </w:rPr>
      <w:fldChar w:fldCharType="separate"/>
    </w:r>
    <w:r w:rsidR="00062EE3">
      <w:rPr>
        <w:rStyle w:val="PageNumber"/>
        <w:noProof/>
        <w:szCs w:val="18"/>
      </w:rPr>
      <w:t>7</w:t>
    </w:r>
    <w:r>
      <w:rPr>
        <w:rStyle w:val="PageNumber"/>
        <w:szCs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0180FE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0ECF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C5B8BEF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F1CF73A"/>
    <w:lvl w:ilvl="0">
      <w:start w:val="1"/>
      <w:numFmt w:val="decimal"/>
      <w:pStyle w:val="ListNumber2"/>
      <w:lvlText w:val="%1."/>
      <w:lvlJc w:val="left"/>
      <w:pPr>
        <w:tabs>
          <w:tab w:val="num" w:pos="643"/>
        </w:tabs>
        <w:ind w:left="643" w:hanging="360"/>
      </w:pPr>
    </w:lvl>
  </w:abstractNum>
  <w:abstractNum w:abstractNumId="4">
    <w:nsid w:val="FFFFFF80"/>
    <w:multiLevelType w:val="singleLevel"/>
    <w:tmpl w:val="23802660"/>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A0C2C346"/>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482EC3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7666B2C2"/>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B2760110"/>
    <w:lvl w:ilvl="0">
      <w:start w:val="1"/>
      <w:numFmt w:val="decimal"/>
      <w:pStyle w:val="ListNumber"/>
      <w:lvlText w:val="%1."/>
      <w:lvlJc w:val="left"/>
      <w:pPr>
        <w:tabs>
          <w:tab w:val="num" w:pos="360"/>
        </w:tabs>
        <w:ind w:left="360" w:hanging="360"/>
      </w:pPr>
    </w:lvl>
  </w:abstractNum>
  <w:abstractNum w:abstractNumId="9">
    <w:nsid w:val="0066004F"/>
    <w:multiLevelType w:val="multilevel"/>
    <w:tmpl w:val="040C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163F153D"/>
    <w:multiLevelType w:val="multilevel"/>
    <w:tmpl w:val="040C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67FD1241"/>
    <w:multiLevelType w:val="hybridMultilevel"/>
    <w:tmpl w:val="F6D86CC2"/>
    <w:lvl w:ilvl="0" w:tplc="E4205412">
      <w:start w:val="1"/>
      <w:numFmt w:val="bullet"/>
      <w:pStyle w:val="ListBullet"/>
      <w:lvlText w:val=""/>
      <w:lvlJc w:val="left"/>
      <w:pPr>
        <w:tabs>
          <w:tab w:val="num" w:pos="851"/>
        </w:tabs>
        <w:ind w:left="568" w:firstLine="0"/>
      </w:pPr>
      <w:rPr>
        <w:rFonts w:ascii="Wingdings" w:hAnsi="Wingdings" w:hint="default"/>
        <w:color w:val="808080"/>
        <w:sz w:val="16"/>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2">
    <w:nsid w:val="76903243"/>
    <w:multiLevelType w:val="multilevel"/>
    <w:tmpl w:val="E884A926"/>
    <w:lvl w:ilvl="0">
      <w:start w:val="1"/>
      <w:numFmt w:val="decimal"/>
      <w:pStyle w:val="JuAppQuestion"/>
      <w:lvlText w:val="%1."/>
      <w:lvlJc w:val="left"/>
      <w:pPr>
        <w:tabs>
          <w:tab w:val="num" w:pos="720"/>
        </w:tabs>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7737461D"/>
    <w:multiLevelType w:val="multilevel"/>
    <w:tmpl w:val="040C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1"/>
  </w:num>
  <w:num w:numId="2">
    <w:abstractNumId w:val="10"/>
  </w:num>
  <w:num w:numId="3">
    <w:abstractNumId w:val="9"/>
  </w:num>
  <w:num w:numId="4">
    <w:abstractNumId w:val="13"/>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 w:numId="15">
    <w:abstractNumId w:val="12"/>
  </w:num>
  <w:num w:numId="16">
    <w:abstractNumId w:val="12"/>
  </w:num>
  <w:num w:numId="17">
    <w:abstractNumId w:val="12"/>
  </w:num>
  <w:num w:numId="18">
    <w:abstractNumId w:val="12"/>
  </w:num>
  <w:num w:numId="19">
    <w:abstractNumId w:val="12"/>
  </w:num>
  <w:num w:numId="20">
    <w:abstractNumId w:val="12"/>
  </w:num>
  <w:num w:numId="21">
    <w:abstractNumId w:val="12"/>
  </w:num>
  <w:num w:numId="22">
    <w:abstractNumId w:val="12"/>
  </w:num>
  <w:num w:numId="23">
    <w:abstractNumId w:val="12"/>
  </w:num>
  <w:num w:numId="24">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removePersonalInformation/>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MM" w:val="0"/>
    <w:docVar w:name="NBEMMDOC" w:val="0"/>
  </w:docVars>
  <w:rsids>
    <w:rsidRoot w:val="000C68C6"/>
    <w:rsid w:val="00000067"/>
    <w:rsid w:val="000010ED"/>
    <w:rsid w:val="000041F8"/>
    <w:rsid w:val="000042A8"/>
    <w:rsid w:val="00004308"/>
    <w:rsid w:val="00005BF0"/>
    <w:rsid w:val="00007154"/>
    <w:rsid w:val="000103AE"/>
    <w:rsid w:val="00011D69"/>
    <w:rsid w:val="00012AD3"/>
    <w:rsid w:val="00014566"/>
    <w:rsid w:val="00015C2D"/>
    <w:rsid w:val="00015F00"/>
    <w:rsid w:val="00022C1D"/>
    <w:rsid w:val="00034987"/>
    <w:rsid w:val="000350E3"/>
    <w:rsid w:val="00054FEE"/>
    <w:rsid w:val="000602DF"/>
    <w:rsid w:val="00061B05"/>
    <w:rsid w:val="00062973"/>
    <w:rsid w:val="00062D5D"/>
    <w:rsid w:val="00062EE3"/>
    <w:rsid w:val="000632D5"/>
    <w:rsid w:val="000644EE"/>
    <w:rsid w:val="00066F84"/>
    <w:rsid w:val="00071ABC"/>
    <w:rsid w:val="000856D7"/>
    <w:rsid w:val="000902AD"/>
    <w:rsid w:val="000925AD"/>
    <w:rsid w:val="000A24EB"/>
    <w:rsid w:val="000B6923"/>
    <w:rsid w:val="000C033C"/>
    <w:rsid w:val="000C2D8A"/>
    <w:rsid w:val="000C5F3C"/>
    <w:rsid w:val="000C68C6"/>
    <w:rsid w:val="000C6DCC"/>
    <w:rsid w:val="000D47AA"/>
    <w:rsid w:val="000D721F"/>
    <w:rsid w:val="000E069B"/>
    <w:rsid w:val="000E0E82"/>
    <w:rsid w:val="000E1DC5"/>
    <w:rsid w:val="000E223F"/>
    <w:rsid w:val="000E35AC"/>
    <w:rsid w:val="000E7D45"/>
    <w:rsid w:val="000F7851"/>
    <w:rsid w:val="00104E23"/>
    <w:rsid w:val="00111B0C"/>
    <w:rsid w:val="00120D6C"/>
    <w:rsid w:val="00123B64"/>
    <w:rsid w:val="001257EC"/>
    <w:rsid w:val="00126A7F"/>
    <w:rsid w:val="00132C6A"/>
    <w:rsid w:val="00133D33"/>
    <w:rsid w:val="00134D64"/>
    <w:rsid w:val="00135A30"/>
    <w:rsid w:val="0013612C"/>
    <w:rsid w:val="00137FF6"/>
    <w:rsid w:val="00141650"/>
    <w:rsid w:val="001457D8"/>
    <w:rsid w:val="0014650F"/>
    <w:rsid w:val="00162A12"/>
    <w:rsid w:val="00166530"/>
    <w:rsid w:val="001832BD"/>
    <w:rsid w:val="001943B5"/>
    <w:rsid w:val="00195134"/>
    <w:rsid w:val="001A145B"/>
    <w:rsid w:val="001A674C"/>
    <w:rsid w:val="001B3B24"/>
    <w:rsid w:val="001C0F98"/>
    <w:rsid w:val="001C2A42"/>
    <w:rsid w:val="001D617B"/>
    <w:rsid w:val="001D63ED"/>
    <w:rsid w:val="001D7348"/>
    <w:rsid w:val="001E035B"/>
    <w:rsid w:val="001E0961"/>
    <w:rsid w:val="001E3EAE"/>
    <w:rsid w:val="001E5348"/>
    <w:rsid w:val="001E6F32"/>
    <w:rsid w:val="001F2145"/>
    <w:rsid w:val="001F6262"/>
    <w:rsid w:val="001F67B0"/>
    <w:rsid w:val="001F7B3D"/>
    <w:rsid w:val="00205F9F"/>
    <w:rsid w:val="00210338"/>
    <w:rsid w:val="002115FC"/>
    <w:rsid w:val="002133F8"/>
    <w:rsid w:val="0021423C"/>
    <w:rsid w:val="00230D00"/>
    <w:rsid w:val="00231DF7"/>
    <w:rsid w:val="00231FD1"/>
    <w:rsid w:val="002339E0"/>
    <w:rsid w:val="00233CF8"/>
    <w:rsid w:val="0023575D"/>
    <w:rsid w:val="00237148"/>
    <w:rsid w:val="0024222D"/>
    <w:rsid w:val="00244B0E"/>
    <w:rsid w:val="00244F6C"/>
    <w:rsid w:val="00247622"/>
    <w:rsid w:val="002532C5"/>
    <w:rsid w:val="00260C03"/>
    <w:rsid w:val="00261347"/>
    <w:rsid w:val="0026540E"/>
    <w:rsid w:val="0027225C"/>
    <w:rsid w:val="00275123"/>
    <w:rsid w:val="00282240"/>
    <w:rsid w:val="0028572A"/>
    <w:rsid w:val="002948AD"/>
    <w:rsid w:val="00294C05"/>
    <w:rsid w:val="00294C92"/>
    <w:rsid w:val="002A01CC"/>
    <w:rsid w:val="002A61B1"/>
    <w:rsid w:val="002A663C"/>
    <w:rsid w:val="002B1E6C"/>
    <w:rsid w:val="002B444B"/>
    <w:rsid w:val="002B5887"/>
    <w:rsid w:val="002C0692"/>
    <w:rsid w:val="002C0E27"/>
    <w:rsid w:val="002C3040"/>
    <w:rsid w:val="002D022D"/>
    <w:rsid w:val="002D24BB"/>
    <w:rsid w:val="002F171B"/>
    <w:rsid w:val="002F2AF7"/>
    <w:rsid w:val="002F7E1C"/>
    <w:rsid w:val="00301A75"/>
    <w:rsid w:val="00302F70"/>
    <w:rsid w:val="0030336F"/>
    <w:rsid w:val="0030375E"/>
    <w:rsid w:val="0031102C"/>
    <w:rsid w:val="00312A30"/>
    <w:rsid w:val="00320F72"/>
    <w:rsid w:val="0032463E"/>
    <w:rsid w:val="00326224"/>
    <w:rsid w:val="0032676F"/>
    <w:rsid w:val="00331EAC"/>
    <w:rsid w:val="00331EBC"/>
    <w:rsid w:val="00337EE4"/>
    <w:rsid w:val="00340FFD"/>
    <w:rsid w:val="003506B1"/>
    <w:rsid w:val="00356AC7"/>
    <w:rsid w:val="003609FA"/>
    <w:rsid w:val="003710C8"/>
    <w:rsid w:val="003750BE"/>
    <w:rsid w:val="00387B9D"/>
    <w:rsid w:val="0039364F"/>
    <w:rsid w:val="00396686"/>
    <w:rsid w:val="0039778E"/>
    <w:rsid w:val="003979AC"/>
    <w:rsid w:val="003A441D"/>
    <w:rsid w:val="003B4941"/>
    <w:rsid w:val="003C3340"/>
    <w:rsid w:val="003C5714"/>
    <w:rsid w:val="003C6B9F"/>
    <w:rsid w:val="003C6E2A"/>
    <w:rsid w:val="003D0299"/>
    <w:rsid w:val="003D0AE9"/>
    <w:rsid w:val="003E6D80"/>
    <w:rsid w:val="003F05FA"/>
    <w:rsid w:val="003F244A"/>
    <w:rsid w:val="003F30B8"/>
    <w:rsid w:val="003F4C45"/>
    <w:rsid w:val="003F5949"/>
    <w:rsid w:val="003F5F7B"/>
    <w:rsid w:val="003F7D64"/>
    <w:rsid w:val="00414300"/>
    <w:rsid w:val="00425C67"/>
    <w:rsid w:val="00427E7A"/>
    <w:rsid w:val="00436307"/>
    <w:rsid w:val="00436C49"/>
    <w:rsid w:val="00445366"/>
    <w:rsid w:val="00447F5B"/>
    <w:rsid w:val="00461DB0"/>
    <w:rsid w:val="00463926"/>
    <w:rsid w:val="00464097"/>
    <w:rsid w:val="004646E0"/>
    <w:rsid w:val="00464C9A"/>
    <w:rsid w:val="00465C64"/>
    <w:rsid w:val="00474F3D"/>
    <w:rsid w:val="00477E3A"/>
    <w:rsid w:val="00483E5F"/>
    <w:rsid w:val="00485FF9"/>
    <w:rsid w:val="004907F0"/>
    <w:rsid w:val="0049140B"/>
    <w:rsid w:val="004923A5"/>
    <w:rsid w:val="00496BFB"/>
    <w:rsid w:val="004A15C7"/>
    <w:rsid w:val="004B013B"/>
    <w:rsid w:val="004B112B"/>
    <w:rsid w:val="004C01E4"/>
    <w:rsid w:val="004C086C"/>
    <w:rsid w:val="004C1F56"/>
    <w:rsid w:val="004C27BC"/>
    <w:rsid w:val="004D15F3"/>
    <w:rsid w:val="004D347F"/>
    <w:rsid w:val="004D5311"/>
    <w:rsid w:val="004D5DCC"/>
    <w:rsid w:val="004F10AF"/>
    <w:rsid w:val="004F11A4"/>
    <w:rsid w:val="004F2389"/>
    <w:rsid w:val="004F304D"/>
    <w:rsid w:val="004F61BE"/>
    <w:rsid w:val="004F66B1"/>
    <w:rsid w:val="00502A0D"/>
    <w:rsid w:val="00504134"/>
    <w:rsid w:val="00511C07"/>
    <w:rsid w:val="00512D5D"/>
    <w:rsid w:val="005173A6"/>
    <w:rsid w:val="00520BAA"/>
    <w:rsid w:val="00525208"/>
    <w:rsid w:val="005257A5"/>
    <w:rsid w:val="005264C0"/>
    <w:rsid w:val="00526A8A"/>
    <w:rsid w:val="00530586"/>
    <w:rsid w:val="00531DF2"/>
    <w:rsid w:val="00533CF7"/>
    <w:rsid w:val="00535BB8"/>
    <w:rsid w:val="005422A8"/>
    <w:rsid w:val="005442EE"/>
    <w:rsid w:val="00547353"/>
    <w:rsid w:val="005474E7"/>
    <w:rsid w:val="005512A3"/>
    <w:rsid w:val="00556C2C"/>
    <w:rsid w:val="005578CE"/>
    <w:rsid w:val="00562781"/>
    <w:rsid w:val="00563E83"/>
    <w:rsid w:val="0057271C"/>
    <w:rsid w:val="00572845"/>
    <w:rsid w:val="00592772"/>
    <w:rsid w:val="005953DB"/>
    <w:rsid w:val="0059574A"/>
    <w:rsid w:val="005A1B9B"/>
    <w:rsid w:val="005A6751"/>
    <w:rsid w:val="005B092E"/>
    <w:rsid w:val="005B152C"/>
    <w:rsid w:val="005B1EE0"/>
    <w:rsid w:val="005B2B24"/>
    <w:rsid w:val="005B3BC3"/>
    <w:rsid w:val="005B4425"/>
    <w:rsid w:val="005B4B94"/>
    <w:rsid w:val="005C3EE8"/>
    <w:rsid w:val="005D34F9"/>
    <w:rsid w:val="005D4190"/>
    <w:rsid w:val="005D67A3"/>
    <w:rsid w:val="005E2988"/>
    <w:rsid w:val="005E2A43"/>
    <w:rsid w:val="005E3085"/>
    <w:rsid w:val="005E438A"/>
    <w:rsid w:val="005F51E1"/>
    <w:rsid w:val="00611C80"/>
    <w:rsid w:val="00620692"/>
    <w:rsid w:val="006242CA"/>
    <w:rsid w:val="00627507"/>
    <w:rsid w:val="00633717"/>
    <w:rsid w:val="00633E63"/>
    <w:rsid w:val="006344E1"/>
    <w:rsid w:val="006545C4"/>
    <w:rsid w:val="0065609C"/>
    <w:rsid w:val="00661971"/>
    <w:rsid w:val="00661CE8"/>
    <w:rsid w:val="006623D9"/>
    <w:rsid w:val="0066550C"/>
    <w:rsid w:val="006716F2"/>
    <w:rsid w:val="00680119"/>
    <w:rsid w:val="00682BF2"/>
    <w:rsid w:val="006859CE"/>
    <w:rsid w:val="00691270"/>
    <w:rsid w:val="00694BA8"/>
    <w:rsid w:val="006A037C"/>
    <w:rsid w:val="006A36F4"/>
    <w:rsid w:val="006A406F"/>
    <w:rsid w:val="006A5B98"/>
    <w:rsid w:val="006A5D3A"/>
    <w:rsid w:val="006C23D4"/>
    <w:rsid w:val="006C7BB0"/>
    <w:rsid w:val="006C7C1E"/>
    <w:rsid w:val="006D3237"/>
    <w:rsid w:val="006E2E37"/>
    <w:rsid w:val="006E3CF1"/>
    <w:rsid w:val="006E7E80"/>
    <w:rsid w:val="006F1DF9"/>
    <w:rsid w:val="006F24DB"/>
    <w:rsid w:val="006F48CA"/>
    <w:rsid w:val="006F64DD"/>
    <w:rsid w:val="007000A7"/>
    <w:rsid w:val="00715127"/>
    <w:rsid w:val="00715E8E"/>
    <w:rsid w:val="00722481"/>
    <w:rsid w:val="00723580"/>
    <w:rsid w:val="00723755"/>
    <w:rsid w:val="0073136C"/>
    <w:rsid w:val="00731F0F"/>
    <w:rsid w:val="00733250"/>
    <w:rsid w:val="0073700D"/>
    <w:rsid w:val="00741404"/>
    <w:rsid w:val="007449E5"/>
    <w:rsid w:val="00746C5A"/>
    <w:rsid w:val="00747FF0"/>
    <w:rsid w:val="007509D5"/>
    <w:rsid w:val="00764D4E"/>
    <w:rsid w:val="00765A1F"/>
    <w:rsid w:val="00766F9C"/>
    <w:rsid w:val="00774A6E"/>
    <w:rsid w:val="00775B6D"/>
    <w:rsid w:val="00776D68"/>
    <w:rsid w:val="00782169"/>
    <w:rsid w:val="00783ABD"/>
    <w:rsid w:val="007850EE"/>
    <w:rsid w:val="00785B95"/>
    <w:rsid w:val="00790E96"/>
    <w:rsid w:val="00793366"/>
    <w:rsid w:val="007A716F"/>
    <w:rsid w:val="007B270A"/>
    <w:rsid w:val="007C0695"/>
    <w:rsid w:val="007C132A"/>
    <w:rsid w:val="007C419A"/>
    <w:rsid w:val="007C4CC8"/>
    <w:rsid w:val="007C5426"/>
    <w:rsid w:val="007C5798"/>
    <w:rsid w:val="007D4832"/>
    <w:rsid w:val="007E21B2"/>
    <w:rsid w:val="007E2C4E"/>
    <w:rsid w:val="007F1905"/>
    <w:rsid w:val="0080048F"/>
    <w:rsid w:val="00801300"/>
    <w:rsid w:val="00802C64"/>
    <w:rsid w:val="00805E52"/>
    <w:rsid w:val="008061D0"/>
    <w:rsid w:val="00810B38"/>
    <w:rsid w:val="008204C7"/>
    <w:rsid w:val="00820992"/>
    <w:rsid w:val="00823602"/>
    <w:rsid w:val="008255F5"/>
    <w:rsid w:val="0083014E"/>
    <w:rsid w:val="0083214A"/>
    <w:rsid w:val="00834220"/>
    <w:rsid w:val="00845723"/>
    <w:rsid w:val="00851EF9"/>
    <w:rsid w:val="008577FD"/>
    <w:rsid w:val="00860B03"/>
    <w:rsid w:val="0086497A"/>
    <w:rsid w:val="008713A1"/>
    <w:rsid w:val="008754AB"/>
    <w:rsid w:val="0088060C"/>
    <w:rsid w:val="00880B07"/>
    <w:rsid w:val="00893576"/>
    <w:rsid w:val="00893E73"/>
    <w:rsid w:val="008A43C4"/>
    <w:rsid w:val="008B02DC"/>
    <w:rsid w:val="008B57CE"/>
    <w:rsid w:val="008B659F"/>
    <w:rsid w:val="008C26DE"/>
    <w:rsid w:val="008D2225"/>
    <w:rsid w:val="008D4752"/>
    <w:rsid w:val="008D552A"/>
    <w:rsid w:val="008E271C"/>
    <w:rsid w:val="008E418E"/>
    <w:rsid w:val="008E5BC6"/>
    <w:rsid w:val="008E6A25"/>
    <w:rsid w:val="008F5193"/>
    <w:rsid w:val="009013A7"/>
    <w:rsid w:val="009017FB"/>
    <w:rsid w:val="009017FC"/>
    <w:rsid w:val="00903B43"/>
    <w:rsid w:val="0090506B"/>
    <w:rsid w:val="009050C9"/>
    <w:rsid w:val="009066FC"/>
    <w:rsid w:val="009140A3"/>
    <w:rsid w:val="009144A2"/>
    <w:rsid w:val="0091510C"/>
    <w:rsid w:val="009259AC"/>
    <w:rsid w:val="00926F38"/>
    <w:rsid w:val="00934301"/>
    <w:rsid w:val="00936CD1"/>
    <w:rsid w:val="00941747"/>
    <w:rsid w:val="00941EFB"/>
    <w:rsid w:val="00947AFB"/>
    <w:rsid w:val="00951D7D"/>
    <w:rsid w:val="00952C12"/>
    <w:rsid w:val="009630C7"/>
    <w:rsid w:val="00972B55"/>
    <w:rsid w:val="009743B7"/>
    <w:rsid w:val="009772F3"/>
    <w:rsid w:val="0098228B"/>
    <w:rsid w:val="009828DA"/>
    <w:rsid w:val="00985BAB"/>
    <w:rsid w:val="00997F03"/>
    <w:rsid w:val="009A46DF"/>
    <w:rsid w:val="009B1B5F"/>
    <w:rsid w:val="009B2EC2"/>
    <w:rsid w:val="009B6673"/>
    <w:rsid w:val="009C191B"/>
    <w:rsid w:val="009C2BD6"/>
    <w:rsid w:val="009C35B7"/>
    <w:rsid w:val="009E1F32"/>
    <w:rsid w:val="009E5829"/>
    <w:rsid w:val="009E776C"/>
    <w:rsid w:val="009F6BD9"/>
    <w:rsid w:val="00A130B4"/>
    <w:rsid w:val="00A1726E"/>
    <w:rsid w:val="00A204CF"/>
    <w:rsid w:val="00A23D49"/>
    <w:rsid w:val="00A27004"/>
    <w:rsid w:val="00A30C29"/>
    <w:rsid w:val="00A34DD6"/>
    <w:rsid w:val="00A36819"/>
    <w:rsid w:val="00A36989"/>
    <w:rsid w:val="00A43628"/>
    <w:rsid w:val="00A515FA"/>
    <w:rsid w:val="00A54192"/>
    <w:rsid w:val="00A55EA2"/>
    <w:rsid w:val="00A6035E"/>
    <w:rsid w:val="00A6144C"/>
    <w:rsid w:val="00A66617"/>
    <w:rsid w:val="00A671F8"/>
    <w:rsid w:val="00A673A4"/>
    <w:rsid w:val="00A724AE"/>
    <w:rsid w:val="00A73329"/>
    <w:rsid w:val="00A82359"/>
    <w:rsid w:val="00A865D2"/>
    <w:rsid w:val="00A94C20"/>
    <w:rsid w:val="00A96ED6"/>
    <w:rsid w:val="00AA227F"/>
    <w:rsid w:val="00AA3BC7"/>
    <w:rsid w:val="00AA754A"/>
    <w:rsid w:val="00AB099E"/>
    <w:rsid w:val="00AB4328"/>
    <w:rsid w:val="00AB57ED"/>
    <w:rsid w:val="00AB5FA0"/>
    <w:rsid w:val="00AD5398"/>
    <w:rsid w:val="00AE0A2E"/>
    <w:rsid w:val="00AE354C"/>
    <w:rsid w:val="00AF4B07"/>
    <w:rsid w:val="00AF6186"/>
    <w:rsid w:val="00AF7A3A"/>
    <w:rsid w:val="00B160DB"/>
    <w:rsid w:val="00B20836"/>
    <w:rsid w:val="00B235BB"/>
    <w:rsid w:val="00B266D1"/>
    <w:rsid w:val="00B27A44"/>
    <w:rsid w:val="00B30BBF"/>
    <w:rsid w:val="00B32A8F"/>
    <w:rsid w:val="00B33C03"/>
    <w:rsid w:val="00B44E56"/>
    <w:rsid w:val="00B46543"/>
    <w:rsid w:val="00B47D33"/>
    <w:rsid w:val="00B52BE0"/>
    <w:rsid w:val="00B54133"/>
    <w:rsid w:val="00B637B9"/>
    <w:rsid w:val="00B701ED"/>
    <w:rsid w:val="00B75BD7"/>
    <w:rsid w:val="00B8086C"/>
    <w:rsid w:val="00B861B4"/>
    <w:rsid w:val="00B86DFE"/>
    <w:rsid w:val="00B90990"/>
    <w:rsid w:val="00B922FF"/>
    <w:rsid w:val="00B92491"/>
    <w:rsid w:val="00B9281E"/>
    <w:rsid w:val="00B93925"/>
    <w:rsid w:val="00B95187"/>
    <w:rsid w:val="00BA2D55"/>
    <w:rsid w:val="00BA71B1"/>
    <w:rsid w:val="00BB0637"/>
    <w:rsid w:val="00BB327C"/>
    <w:rsid w:val="00BB345F"/>
    <w:rsid w:val="00BB5883"/>
    <w:rsid w:val="00BB68EA"/>
    <w:rsid w:val="00BC1C27"/>
    <w:rsid w:val="00BC6BBF"/>
    <w:rsid w:val="00BD1572"/>
    <w:rsid w:val="00BE14E3"/>
    <w:rsid w:val="00BE3774"/>
    <w:rsid w:val="00BE41E5"/>
    <w:rsid w:val="00BF0BBB"/>
    <w:rsid w:val="00BF4109"/>
    <w:rsid w:val="00BF4CC3"/>
    <w:rsid w:val="00C054C7"/>
    <w:rsid w:val="00C057B5"/>
    <w:rsid w:val="00C16E45"/>
    <w:rsid w:val="00C22687"/>
    <w:rsid w:val="00C324DD"/>
    <w:rsid w:val="00C32E4D"/>
    <w:rsid w:val="00C333A0"/>
    <w:rsid w:val="00C36A81"/>
    <w:rsid w:val="00C41974"/>
    <w:rsid w:val="00C447AD"/>
    <w:rsid w:val="00C51708"/>
    <w:rsid w:val="00C53F4A"/>
    <w:rsid w:val="00C54125"/>
    <w:rsid w:val="00C55B54"/>
    <w:rsid w:val="00C6098E"/>
    <w:rsid w:val="00C6152C"/>
    <w:rsid w:val="00C621C2"/>
    <w:rsid w:val="00C74810"/>
    <w:rsid w:val="00C90D68"/>
    <w:rsid w:val="00C915FB"/>
    <w:rsid w:val="00C939FE"/>
    <w:rsid w:val="00CA4BDA"/>
    <w:rsid w:val="00CB1F66"/>
    <w:rsid w:val="00CB2951"/>
    <w:rsid w:val="00CB3AC9"/>
    <w:rsid w:val="00CD282B"/>
    <w:rsid w:val="00CD4C35"/>
    <w:rsid w:val="00CD7369"/>
    <w:rsid w:val="00CE0B0E"/>
    <w:rsid w:val="00CE2F1E"/>
    <w:rsid w:val="00CE3831"/>
    <w:rsid w:val="00D00ABB"/>
    <w:rsid w:val="00D02EEC"/>
    <w:rsid w:val="00D03551"/>
    <w:rsid w:val="00D06A63"/>
    <w:rsid w:val="00D07E0E"/>
    <w:rsid w:val="00D11478"/>
    <w:rsid w:val="00D158D1"/>
    <w:rsid w:val="00D15ED0"/>
    <w:rsid w:val="00D21B3E"/>
    <w:rsid w:val="00D21FED"/>
    <w:rsid w:val="00D24251"/>
    <w:rsid w:val="00D343E2"/>
    <w:rsid w:val="00D361A2"/>
    <w:rsid w:val="00D44C2E"/>
    <w:rsid w:val="00D45414"/>
    <w:rsid w:val="00D53C0F"/>
    <w:rsid w:val="00D562E3"/>
    <w:rsid w:val="00D566BD"/>
    <w:rsid w:val="00D57A4D"/>
    <w:rsid w:val="00D60AA7"/>
    <w:rsid w:val="00D60D87"/>
    <w:rsid w:val="00D6435F"/>
    <w:rsid w:val="00D75E28"/>
    <w:rsid w:val="00D772C2"/>
    <w:rsid w:val="00D8008E"/>
    <w:rsid w:val="00D82C45"/>
    <w:rsid w:val="00D835EA"/>
    <w:rsid w:val="00D861E6"/>
    <w:rsid w:val="00D908A8"/>
    <w:rsid w:val="00D977B6"/>
    <w:rsid w:val="00DA4A31"/>
    <w:rsid w:val="00DA61F2"/>
    <w:rsid w:val="00DA7B04"/>
    <w:rsid w:val="00DB36C2"/>
    <w:rsid w:val="00DB7196"/>
    <w:rsid w:val="00DC169B"/>
    <w:rsid w:val="00DC2AB9"/>
    <w:rsid w:val="00DC63F0"/>
    <w:rsid w:val="00DD6EE5"/>
    <w:rsid w:val="00DE1B8E"/>
    <w:rsid w:val="00DE386C"/>
    <w:rsid w:val="00DE4D35"/>
    <w:rsid w:val="00DF0549"/>
    <w:rsid w:val="00DF098B"/>
    <w:rsid w:val="00DF11C4"/>
    <w:rsid w:val="00DF210C"/>
    <w:rsid w:val="00DF4B6A"/>
    <w:rsid w:val="00E02C09"/>
    <w:rsid w:val="00E04D59"/>
    <w:rsid w:val="00E07DA1"/>
    <w:rsid w:val="00E123CB"/>
    <w:rsid w:val="00E1557C"/>
    <w:rsid w:val="00E20E13"/>
    <w:rsid w:val="00E21DBC"/>
    <w:rsid w:val="00E275D7"/>
    <w:rsid w:val="00E27DBE"/>
    <w:rsid w:val="00E32AB1"/>
    <w:rsid w:val="00E36C71"/>
    <w:rsid w:val="00E40404"/>
    <w:rsid w:val="00E4133A"/>
    <w:rsid w:val="00E459C6"/>
    <w:rsid w:val="00E47589"/>
    <w:rsid w:val="00E64915"/>
    <w:rsid w:val="00E661D4"/>
    <w:rsid w:val="00E70091"/>
    <w:rsid w:val="00E720F5"/>
    <w:rsid w:val="00E76D47"/>
    <w:rsid w:val="00E849F7"/>
    <w:rsid w:val="00E90302"/>
    <w:rsid w:val="00E9597F"/>
    <w:rsid w:val="00E97396"/>
    <w:rsid w:val="00EA185E"/>
    <w:rsid w:val="00EA592A"/>
    <w:rsid w:val="00EA737F"/>
    <w:rsid w:val="00EB14E4"/>
    <w:rsid w:val="00EB32A5"/>
    <w:rsid w:val="00EB34ED"/>
    <w:rsid w:val="00EB7BE0"/>
    <w:rsid w:val="00EC315E"/>
    <w:rsid w:val="00ED077C"/>
    <w:rsid w:val="00ED1190"/>
    <w:rsid w:val="00ED6544"/>
    <w:rsid w:val="00ED79C9"/>
    <w:rsid w:val="00EE0277"/>
    <w:rsid w:val="00EE1DA9"/>
    <w:rsid w:val="00EE3E00"/>
    <w:rsid w:val="00EE5DD2"/>
    <w:rsid w:val="00EF0073"/>
    <w:rsid w:val="00EF41F1"/>
    <w:rsid w:val="00EF4F08"/>
    <w:rsid w:val="00EF573B"/>
    <w:rsid w:val="00F00A79"/>
    <w:rsid w:val="00F00E86"/>
    <w:rsid w:val="00F00F8B"/>
    <w:rsid w:val="00F07C1E"/>
    <w:rsid w:val="00F105DB"/>
    <w:rsid w:val="00F132BC"/>
    <w:rsid w:val="00F13D80"/>
    <w:rsid w:val="00F16AAA"/>
    <w:rsid w:val="00F21161"/>
    <w:rsid w:val="00F218EF"/>
    <w:rsid w:val="00F21BC7"/>
    <w:rsid w:val="00F266A2"/>
    <w:rsid w:val="00F32269"/>
    <w:rsid w:val="00F4457E"/>
    <w:rsid w:val="00F56A6F"/>
    <w:rsid w:val="00F5709C"/>
    <w:rsid w:val="00F601AA"/>
    <w:rsid w:val="00F64EF1"/>
    <w:rsid w:val="00F8765F"/>
    <w:rsid w:val="00F90767"/>
    <w:rsid w:val="00FA685B"/>
    <w:rsid w:val="00FB0C01"/>
    <w:rsid w:val="00FC18F2"/>
    <w:rsid w:val="00FC39E5"/>
    <w:rsid w:val="00FC3A78"/>
    <w:rsid w:val="00FC5FFE"/>
    <w:rsid w:val="00FC7D5B"/>
    <w:rsid w:val="00FD1005"/>
    <w:rsid w:val="00FD3180"/>
    <w:rsid w:val="00FD6C75"/>
    <w:rsid w:val="00FE71B3"/>
    <w:rsid w:val="00FF2AC9"/>
    <w:rsid w:val="00FF42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Street"/>
  <w:smartTagType w:namespaceuri="urn:schemas-microsoft-com:office:smarttags" w:name="address"/>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57" w:unhideWhenUsed="1"/>
    <w:lsdException w:name="footer" w:semiHidden="1" w:uiPriority="57"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emiHidden/>
    <w:rsid w:val="00062EE3"/>
    <w:pPr>
      <w:jc w:val="both"/>
    </w:pPr>
    <w:rPr>
      <w:rFonts w:eastAsiaTheme="minorEastAsia"/>
      <w:sz w:val="24"/>
      <w:lang w:val="en-GB"/>
    </w:rPr>
  </w:style>
  <w:style w:type="paragraph" w:styleId="Heading1">
    <w:name w:val="heading 1"/>
    <w:basedOn w:val="Normal"/>
    <w:next w:val="Normal"/>
    <w:link w:val="Heading1Char"/>
    <w:uiPriority w:val="99"/>
    <w:semiHidden/>
    <w:rsid w:val="00062EE3"/>
    <w:pPr>
      <w:spacing w:before="480"/>
      <w:contextualSpacing/>
      <w:outlineLvl w:val="0"/>
    </w:pPr>
    <w:rPr>
      <w:rFonts w:asciiTheme="majorHAnsi" w:eastAsiaTheme="majorEastAsia" w:hAnsiTheme="majorHAnsi" w:cstheme="majorBidi"/>
      <w:b/>
      <w:bCs/>
      <w:color w:val="333333"/>
      <w:sz w:val="28"/>
      <w:szCs w:val="28"/>
    </w:rPr>
  </w:style>
  <w:style w:type="paragraph" w:styleId="Heading2">
    <w:name w:val="heading 2"/>
    <w:basedOn w:val="Normal"/>
    <w:next w:val="Normal"/>
    <w:link w:val="Heading2Char"/>
    <w:uiPriority w:val="99"/>
    <w:semiHidden/>
    <w:rsid w:val="00062EE3"/>
    <w:pPr>
      <w:spacing w:before="200"/>
      <w:outlineLvl w:val="1"/>
    </w:pPr>
    <w:rPr>
      <w:rFonts w:asciiTheme="majorHAnsi" w:eastAsiaTheme="majorEastAsia" w:hAnsiTheme="majorHAnsi" w:cstheme="majorBidi"/>
      <w:b/>
      <w:bCs/>
      <w:color w:val="4D4D4D"/>
      <w:sz w:val="26"/>
      <w:szCs w:val="26"/>
    </w:rPr>
  </w:style>
  <w:style w:type="paragraph" w:styleId="Heading3">
    <w:name w:val="heading 3"/>
    <w:basedOn w:val="Normal"/>
    <w:next w:val="Normal"/>
    <w:link w:val="Heading3Char"/>
    <w:uiPriority w:val="99"/>
    <w:semiHidden/>
    <w:rsid w:val="00062EE3"/>
    <w:pPr>
      <w:spacing w:before="200" w:line="271" w:lineRule="auto"/>
      <w:outlineLvl w:val="2"/>
    </w:pPr>
    <w:rPr>
      <w:rFonts w:asciiTheme="majorHAnsi" w:eastAsiaTheme="majorEastAsia" w:hAnsiTheme="majorHAnsi" w:cstheme="majorBidi"/>
      <w:b/>
      <w:bCs/>
      <w:color w:val="5F5F5F"/>
    </w:rPr>
  </w:style>
  <w:style w:type="paragraph" w:styleId="Heading4">
    <w:name w:val="heading 4"/>
    <w:basedOn w:val="Normal"/>
    <w:next w:val="Normal"/>
    <w:link w:val="Heading4Char"/>
    <w:uiPriority w:val="99"/>
    <w:semiHidden/>
    <w:rsid w:val="00062EE3"/>
    <w:pPr>
      <w:spacing w:before="200"/>
      <w:outlineLvl w:val="3"/>
    </w:pPr>
    <w:rPr>
      <w:rFonts w:asciiTheme="majorHAnsi" w:eastAsiaTheme="majorEastAsia" w:hAnsiTheme="majorHAnsi" w:cstheme="majorBidi"/>
      <w:b/>
      <w:bCs/>
      <w:i/>
      <w:iCs/>
      <w:color w:val="777777"/>
    </w:rPr>
  </w:style>
  <w:style w:type="paragraph" w:styleId="Heading5">
    <w:name w:val="heading 5"/>
    <w:basedOn w:val="Normal"/>
    <w:next w:val="Normal"/>
    <w:link w:val="Heading5Char"/>
    <w:uiPriority w:val="99"/>
    <w:semiHidden/>
    <w:qFormat/>
    <w:rsid w:val="00062EE3"/>
    <w:pPr>
      <w:spacing w:before="200"/>
      <w:outlineLvl w:val="4"/>
    </w:pPr>
    <w:rPr>
      <w:rFonts w:asciiTheme="majorHAnsi" w:eastAsiaTheme="majorEastAsia" w:hAnsiTheme="majorHAnsi" w:cstheme="majorBidi"/>
      <w:b/>
      <w:bCs/>
      <w:color w:val="808080"/>
      <w:sz w:val="22"/>
      <w:lang w:val="en-US"/>
    </w:rPr>
  </w:style>
  <w:style w:type="paragraph" w:styleId="Heading6">
    <w:name w:val="heading 6"/>
    <w:basedOn w:val="Normal"/>
    <w:next w:val="Normal"/>
    <w:link w:val="Heading6Char"/>
    <w:uiPriority w:val="99"/>
    <w:semiHidden/>
    <w:rsid w:val="00062EE3"/>
    <w:pPr>
      <w:spacing w:line="271" w:lineRule="auto"/>
      <w:outlineLvl w:val="5"/>
    </w:pPr>
    <w:rPr>
      <w:rFonts w:asciiTheme="majorHAnsi" w:eastAsiaTheme="majorEastAsia" w:hAnsiTheme="majorHAnsi" w:cstheme="majorBidi"/>
      <w:b/>
      <w:bCs/>
      <w:i/>
      <w:iCs/>
      <w:color w:val="7F7F7F" w:themeColor="text1" w:themeTint="80"/>
      <w:lang w:bidi="en-US"/>
    </w:rPr>
  </w:style>
  <w:style w:type="paragraph" w:styleId="Heading7">
    <w:name w:val="heading 7"/>
    <w:basedOn w:val="Normal"/>
    <w:next w:val="Normal"/>
    <w:link w:val="Heading7Char"/>
    <w:uiPriority w:val="99"/>
    <w:semiHidden/>
    <w:qFormat/>
    <w:rsid w:val="00062EE3"/>
    <w:pPr>
      <w:outlineLvl w:val="6"/>
    </w:pPr>
    <w:rPr>
      <w:rFonts w:asciiTheme="majorHAnsi" w:eastAsiaTheme="majorEastAsia" w:hAnsiTheme="majorHAnsi" w:cstheme="majorBidi"/>
      <w:i/>
      <w:iCs/>
      <w:sz w:val="22"/>
      <w:lang w:val="en-US" w:bidi="en-US"/>
    </w:rPr>
  </w:style>
  <w:style w:type="paragraph" w:styleId="Heading8">
    <w:name w:val="heading 8"/>
    <w:basedOn w:val="Normal"/>
    <w:next w:val="Normal"/>
    <w:link w:val="Heading8Char"/>
    <w:uiPriority w:val="99"/>
    <w:semiHidden/>
    <w:qFormat/>
    <w:rsid w:val="00062EE3"/>
    <w:pPr>
      <w:outlineLvl w:val="7"/>
    </w:pPr>
    <w:rPr>
      <w:rFonts w:asciiTheme="majorHAnsi" w:eastAsiaTheme="majorEastAsia" w:hAnsiTheme="majorHAnsi" w:cstheme="majorBidi"/>
      <w:sz w:val="20"/>
      <w:szCs w:val="20"/>
      <w:lang w:val="en-US" w:bidi="en-US"/>
    </w:rPr>
  </w:style>
  <w:style w:type="paragraph" w:styleId="Heading9">
    <w:name w:val="heading 9"/>
    <w:basedOn w:val="Normal"/>
    <w:next w:val="Normal"/>
    <w:link w:val="Heading9Char"/>
    <w:uiPriority w:val="99"/>
    <w:semiHidden/>
    <w:qFormat/>
    <w:rsid w:val="00062EE3"/>
    <w:pPr>
      <w:outlineLvl w:val="8"/>
    </w:pPr>
    <w:rPr>
      <w:rFonts w:asciiTheme="majorHAnsi" w:eastAsiaTheme="majorEastAsia" w:hAnsiTheme="majorHAnsi" w:cstheme="majorBidi"/>
      <w:i/>
      <w:iCs/>
      <w:spacing w:val="5"/>
      <w:sz w:val="20"/>
      <w:szCs w:val="20"/>
      <w:lang w:val="en-US"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62EE3"/>
    <w:rPr>
      <w:rFonts w:ascii="Tahoma" w:hAnsi="Tahoma" w:cs="Tahoma"/>
      <w:sz w:val="16"/>
      <w:szCs w:val="16"/>
    </w:rPr>
  </w:style>
  <w:style w:type="character" w:customStyle="1" w:styleId="BalloonTextChar">
    <w:name w:val="Balloon Text Char"/>
    <w:basedOn w:val="DefaultParagraphFont"/>
    <w:link w:val="BalloonText"/>
    <w:uiPriority w:val="99"/>
    <w:semiHidden/>
    <w:rsid w:val="00062EE3"/>
    <w:rPr>
      <w:rFonts w:ascii="Tahoma" w:eastAsiaTheme="minorEastAsia" w:hAnsi="Tahoma" w:cs="Tahoma"/>
      <w:sz w:val="16"/>
      <w:szCs w:val="16"/>
      <w:lang w:val="en-GB"/>
    </w:rPr>
  </w:style>
  <w:style w:type="character" w:styleId="BookTitle">
    <w:name w:val="Book Title"/>
    <w:uiPriority w:val="99"/>
    <w:semiHidden/>
    <w:qFormat/>
    <w:rsid w:val="00062EE3"/>
    <w:rPr>
      <w:i/>
      <w:iCs/>
      <w:smallCaps/>
      <w:spacing w:val="5"/>
    </w:rPr>
  </w:style>
  <w:style w:type="paragraph" w:customStyle="1" w:styleId="ECHRHeader">
    <w:name w:val="ECHR_Header"/>
    <w:aliases w:val="Ju_Header"/>
    <w:basedOn w:val="Header"/>
    <w:uiPriority w:val="4"/>
    <w:qFormat/>
    <w:rsid w:val="00062EE3"/>
    <w:pPr>
      <w:tabs>
        <w:tab w:val="clear" w:pos="4536"/>
        <w:tab w:val="clear" w:pos="9072"/>
        <w:tab w:val="center" w:pos="3686"/>
        <w:tab w:val="right" w:pos="7371"/>
      </w:tabs>
      <w:jc w:val="left"/>
    </w:pPr>
    <w:rPr>
      <w:sz w:val="18"/>
    </w:rPr>
  </w:style>
  <w:style w:type="paragraph" w:customStyle="1" w:styleId="ECHRFooter">
    <w:name w:val="ECHR_Footer"/>
    <w:aliases w:val="Footer_ECHR"/>
    <w:basedOn w:val="Footer"/>
    <w:uiPriority w:val="57"/>
    <w:semiHidden/>
    <w:rsid w:val="00062EE3"/>
    <w:pPr>
      <w:jc w:val="left"/>
    </w:pPr>
    <w:rPr>
      <w:sz w:val="8"/>
    </w:rPr>
  </w:style>
  <w:style w:type="character" w:styleId="Strong">
    <w:name w:val="Strong"/>
    <w:uiPriority w:val="99"/>
    <w:semiHidden/>
    <w:qFormat/>
    <w:rsid w:val="00062EE3"/>
    <w:rPr>
      <w:b/>
      <w:bCs/>
    </w:rPr>
  </w:style>
  <w:style w:type="paragraph" w:styleId="NoSpacing">
    <w:name w:val="No Spacing"/>
    <w:basedOn w:val="Normal"/>
    <w:link w:val="NoSpacingChar"/>
    <w:semiHidden/>
    <w:qFormat/>
    <w:rsid w:val="00062EE3"/>
    <w:rPr>
      <w:sz w:val="22"/>
      <w:lang w:val="en-US"/>
    </w:rPr>
  </w:style>
  <w:style w:type="character" w:customStyle="1" w:styleId="NoSpacingChar">
    <w:name w:val="No Spacing Char"/>
    <w:basedOn w:val="DefaultParagraphFont"/>
    <w:link w:val="NoSpacing"/>
    <w:semiHidden/>
    <w:rsid w:val="00062EE3"/>
    <w:rPr>
      <w:rFonts w:eastAsiaTheme="minorEastAsia"/>
    </w:rPr>
  </w:style>
  <w:style w:type="paragraph" w:customStyle="1" w:styleId="ECHRFooterLine">
    <w:name w:val="ECHR_Footer_Line"/>
    <w:aliases w:val="Footer_Line"/>
    <w:basedOn w:val="Normal"/>
    <w:next w:val="ECHRFooter"/>
    <w:uiPriority w:val="57"/>
    <w:semiHidden/>
    <w:rsid w:val="00062EE3"/>
    <w:pPr>
      <w:pBdr>
        <w:top w:val="single" w:sz="6" w:space="1" w:color="5F5F5F"/>
      </w:pBdr>
      <w:tabs>
        <w:tab w:val="center" w:pos="4536"/>
        <w:tab w:val="right" w:pos="9696"/>
      </w:tabs>
      <w:ind w:left="-680" w:right="-680"/>
      <w:jc w:val="left"/>
    </w:pPr>
    <w:rPr>
      <w:color w:val="5F5F5F"/>
    </w:rPr>
  </w:style>
  <w:style w:type="paragraph" w:customStyle="1" w:styleId="DecHTitle">
    <w:name w:val="Dec_H_Title"/>
    <w:basedOn w:val="ECHRTitleCentre1"/>
    <w:uiPriority w:val="7"/>
    <w:semiHidden/>
    <w:qFormat/>
    <w:rsid w:val="00062EE3"/>
  </w:style>
  <w:style w:type="paragraph" w:customStyle="1" w:styleId="DecList">
    <w:name w:val="Dec_List"/>
    <w:basedOn w:val="Normal"/>
    <w:uiPriority w:val="9"/>
    <w:semiHidden/>
    <w:qFormat/>
    <w:rsid w:val="00062EE3"/>
    <w:pPr>
      <w:spacing w:before="240"/>
      <w:ind w:left="284"/>
    </w:pPr>
  </w:style>
  <w:style w:type="paragraph" w:customStyle="1" w:styleId="DummyStyle">
    <w:name w:val="Dummy_Style"/>
    <w:basedOn w:val="Normal"/>
    <w:semiHidden/>
    <w:qFormat/>
    <w:rsid w:val="00062EE3"/>
    <w:rPr>
      <w:color w:val="00B050"/>
    </w:rPr>
  </w:style>
  <w:style w:type="paragraph" w:customStyle="1" w:styleId="ECHRTitleCentre3">
    <w:name w:val="ECHR_Title_Centre_3"/>
    <w:aliases w:val="Ju_H_Article"/>
    <w:basedOn w:val="Normal"/>
    <w:next w:val="ECHRParaQuote"/>
    <w:uiPriority w:val="27"/>
    <w:qFormat/>
    <w:rsid w:val="00062EE3"/>
    <w:pPr>
      <w:keepNext/>
      <w:keepLines/>
      <w:spacing w:before="240" w:after="120"/>
      <w:jc w:val="center"/>
      <w:outlineLvl w:val="3"/>
    </w:pPr>
    <w:rPr>
      <w:rFonts w:asciiTheme="majorHAnsi" w:hAnsiTheme="majorHAnsi"/>
      <w:b/>
      <w:sz w:val="20"/>
      <w:lang w:bidi="en-US"/>
    </w:rPr>
  </w:style>
  <w:style w:type="paragraph" w:customStyle="1" w:styleId="ECHRTitleCentre1">
    <w:name w:val="ECHR_Title_Centre_1"/>
    <w:aliases w:val="Opi_H_Head"/>
    <w:basedOn w:val="Normal"/>
    <w:next w:val="OpiPara"/>
    <w:uiPriority w:val="39"/>
    <w:qFormat/>
    <w:rsid w:val="00062EE3"/>
    <w:pPr>
      <w:keepNext/>
      <w:keepLines/>
      <w:spacing w:after="240"/>
      <w:jc w:val="center"/>
      <w:outlineLvl w:val="0"/>
    </w:pPr>
    <w:rPr>
      <w:rFonts w:asciiTheme="majorHAnsi" w:hAnsiTheme="majorHAnsi"/>
      <w:sz w:val="28"/>
    </w:rPr>
  </w:style>
  <w:style w:type="paragraph" w:customStyle="1" w:styleId="JuAppQuestion">
    <w:name w:val="Ju_App_Question"/>
    <w:basedOn w:val="Normal"/>
    <w:uiPriority w:val="5"/>
    <w:semiHidden/>
    <w:qFormat/>
    <w:rsid w:val="00062EE3"/>
    <w:pPr>
      <w:numPr>
        <w:numId w:val="24"/>
      </w:numPr>
      <w:jc w:val="left"/>
    </w:pPr>
    <w:rPr>
      <w:b/>
    </w:rPr>
  </w:style>
  <w:style w:type="paragraph" w:customStyle="1" w:styleId="JuCourt">
    <w:name w:val="Ju_Court"/>
    <w:basedOn w:val="Normal"/>
    <w:next w:val="Normal"/>
    <w:uiPriority w:val="16"/>
    <w:qFormat/>
    <w:rsid w:val="00062EE3"/>
    <w:pPr>
      <w:tabs>
        <w:tab w:val="left" w:pos="907"/>
        <w:tab w:val="left" w:pos="1701"/>
        <w:tab w:val="right" w:pos="7371"/>
      </w:tabs>
      <w:spacing w:before="240"/>
      <w:ind w:left="397" w:hanging="397"/>
      <w:jc w:val="left"/>
    </w:pPr>
    <w:rPr>
      <w:lang w:bidi="en-US"/>
    </w:rPr>
  </w:style>
  <w:style w:type="paragraph" w:customStyle="1" w:styleId="JuHeaderLandscape">
    <w:name w:val="Ju_Header_Landscape"/>
    <w:basedOn w:val="ECHRHeader"/>
    <w:uiPriority w:val="4"/>
    <w:qFormat/>
    <w:rsid w:val="00062EE3"/>
    <w:pPr>
      <w:tabs>
        <w:tab w:val="clear" w:pos="3686"/>
        <w:tab w:val="clear" w:pos="7371"/>
        <w:tab w:val="center" w:pos="6146"/>
        <w:tab w:val="right" w:pos="12293"/>
      </w:tabs>
    </w:pPr>
  </w:style>
  <w:style w:type="paragraph" w:customStyle="1" w:styleId="ECHRTitleCentre2">
    <w:name w:val="ECHR_Title_Centre_2"/>
    <w:aliases w:val="Dec_H_Case"/>
    <w:basedOn w:val="Normal"/>
    <w:next w:val="ECHRPara"/>
    <w:uiPriority w:val="8"/>
    <w:qFormat/>
    <w:rsid w:val="00062EE3"/>
    <w:pPr>
      <w:spacing w:after="240"/>
      <w:jc w:val="center"/>
      <w:outlineLvl w:val="0"/>
    </w:pPr>
    <w:rPr>
      <w:rFonts w:asciiTheme="majorHAnsi" w:hAnsiTheme="majorHAnsi"/>
    </w:rPr>
  </w:style>
  <w:style w:type="paragraph" w:customStyle="1" w:styleId="JuInitialled">
    <w:name w:val="Ju_Initialled"/>
    <w:basedOn w:val="Normal"/>
    <w:uiPriority w:val="31"/>
    <w:qFormat/>
    <w:rsid w:val="00062EE3"/>
    <w:pPr>
      <w:tabs>
        <w:tab w:val="center" w:pos="6407"/>
      </w:tabs>
      <w:spacing w:before="720"/>
      <w:jc w:val="right"/>
    </w:pPr>
  </w:style>
  <w:style w:type="paragraph" w:styleId="Title">
    <w:name w:val="Title"/>
    <w:basedOn w:val="Normal"/>
    <w:next w:val="Normal"/>
    <w:link w:val="TitleChar"/>
    <w:uiPriority w:val="99"/>
    <w:semiHidden/>
    <w:qFormat/>
    <w:rsid w:val="00062EE3"/>
    <w:pPr>
      <w:pBdr>
        <w:bottom w:val="single" w:sz="4" w:space="1" w:color="auto"/>
      </w:pBdr>
      <w:contextualSpacing/>
    </w:pPr>
    <w:rPr>
      <w:rFonts w:asciiTheme="majorHAnsi" w:eastAsiaTheme="majorEastAsia" w:hAnsiTheme="majorHAnsi" w:cstheme="majorBidi"/>
      <w:spacing w:val="5"/>
      <w:sz w:val="52"/>
      <w:szCs w:val="52"/>
      <w:lang w:val="en-US" w:bidi="en-US"/>
    </w:rPr>
  </w:style>
  <w:style w:type="character" w:customStyle="1" w:styleId="TitleChar">
    <w:name w:val="Title Char"/>
    <w:basedOn w:val="DefaultParagraphFont"/>
    <w:link w:val="Title"/>
    <w:uiPriority w:val="99"/>
    <w:semiHidden/>
    <w:rsid w:val="00062EE3"/>
    <w:rPr>
      <w:rFonts w:asciiTheme="majorHAnsi" w:eastAsiaTheme="majorEastAsia" w:hAnsiTheme="majorHAnsi" w:cstheme="majorBidi"/>
      <w:spacing w:val="5"/>
      <w:sz w:val="52"/>
      <w:szCs w:val="52"/>
      <w:lang w:bidi="en-US"/>
    </w:rPr>
  </w:style>
  <w:style w:type="paragraph" w:customStyle="1" w:styleId="ECHRHeading3">
    <w:name w:val="ECHR_Heading_3"/>
    <w:aliases w:val="Ju_H_1."/>
    <w:basedOn w:val="Heading3"/>
    <w:next w:val="ECHRPara"/>
    <w:uiPriority w:val="21"/>
    <w:qFormat/>
    <w:rsid w:val="00062EE3"/>
    <w:pPr>
      <w:keepNext/>
      <w:keepLines/>
      <w:tabs>
        <w:tab w:val="left" w:pos="731"/>
      </w:tabs>
      <w:spacing w:before="240" w:after="120" w:line="240" w:lineRule="auto"/>
      <w:ind w:left="732" w:hanging="301"/>
    </w:pPr>
    <w:rPr>
      <w:b w:val="0"/>
      <w:i/>
      <w:color w:val="auto"/>
    </w:rPr>
  </w:style>
  <w:style w:type="paragraph" w:customStyle="1" w:styleId="ECHRHeading4">
    <w:name w:val="ECHR_Heading_4"/>
    <w:aliases w:val="Ju_H_a"/>
    <w:basedOn w:val="Heading4"/>
    <w:next w:val="ECHRPara"/>
    <w:uiPriority w:val="22"/>
    <w:qFormat/>
    <w:rsid w:val="00062EE3"/>
    <w:pPr>
      <w:keepNext/>
      <w:keepLines/>
      <w:tabs>
        <w:tab w:val="left" w:pos="975"/>
      </w:tabs>
      <w:spacing w:before="240" w:after="120"/>
      <w:ind w:left="975" w:hanging="340"/>
    </w:pPr>
    <w:rPr>
      <w:i w:val="0"/>
      <w:color w:val="auto"/>
      <w:sz w:val="20"/>
    </w:rPr>
  </w:style>
  <w:style w:type="paragraph" w:customStyle="1" w:styleId="ECHRHeading5">
    <w:name w:val="ECHR_Heading_5"/>
    <w:aliases w:val="Ju_H_i"/>
    <w:basedOn w:val="Heading5"/>
    <w:next w:val="ECHRPara"/>
    <w:uiPriority w:val="23"/>
    <w:qFormat/>
    <w:rsid w:val="00062EE3"/>
    <w:pPr>
      <w:keepNext/>
      <w:keepLines/>
      <w:tabs>
        <w:tab w:val="left" w:pos="1191"/>
      </w:tabs>
      <w:spacing w:before="240" w:after="120"/>
      <w:ind w:left="1190" w:hanging="357"/>
    </w:pPr>
    <w:rPr>
      <w:b w:val="0"/>
      <w:i/>
      <w:color w:val="auto"/>
      <w:sz w:val="20"/>
      <w:lang w:val="en-GB"/>
    </w:rPr>
  </w:style>
  <w:style w:type="paragraph" w:customStyle="1" w:styleId="ECHRHeading6">
    <w:name w:val="ECHR_Heading_6"/>
    <w:aliases w:val="Ju_H_alpha"/>
    <w:basedOn w:val="Heading6"/>
    <w:next w:val="ECHRPara"/>
    <w:uiPriority w:val="24"/>
    <w:qFormat/>
    <w:rsid w:val="00062EE3"/>
    <w:pPr>
      <w:keepNext/>
      <w:keepLines/>
      <w:tabs>
        <w:tab w:val="left" w:pos="1372"/>
      </w:tabs>
      <w:spacing w:before="240" w:after="120" w:line="240" w:lineRule="auto"/>
      <w:ind w:left="1373" w:hanging="335"/>
    </w:pPr>
    <w:rPr>
      <w:b w:val="0"/>
      <w:i w:val="0"/>
      <w:color w:val="auto"/>
      <w:sz w:val="20"/>
    </w:rPr>
  </w:style>
  <w:style w:type="paragraph" w:customStyle="1" w:styleId="ECHRHeading7">
    <w:name w:val="ECHR_Heading_7"/>
    <w:aliases w:val="Ju_H_–"/>
    <w:basedOn w:val="Heading7"/>
    <w:next w:val="ECHRPara"/>
    <w:uiPriority w:val="25"/>
    <w:qFormat/>
    <w:rsid w:val="00062EE3"/>
    <w:pPr>
      <w:keepNext/>
      <w:keepLines/>
      <w:spacing w:before="240" w:after="120"/>
      <w:ind w:left="1236"/>
    </w:pPr>
    <w:rPr>
      <w:sz w:val="20"/>
      <w:lang w:val="en-GB"/>
    </w:rPr>
  </w:style>
  <w:style w:type="character" w:customStyle="1" w:styleId="JuITMark">
    <w:name w:val="Ju_ITMark"/>
    <w:basedOn w:val="DefaultParagraphFont"/>
    <w:uiPriority w:val="38"/>
    <w:qFormat/>
    <w:rsid w:val="00062EE3"/>
    <w:rPr>
      <w:vanish w:val="0"/>
      <w:color w:val="auto"/>
      <w:sz w:val="14"/>
      <w:bdr w:val="none" w:sz="0" w:space="0" w:color="auto"/>
      <w:shd w:val="clear" w:color="auto" w:fill="BEE5FF" w:themeFill="background1" w:themeFillTint="33"/>
    </w:rPr>
  </w:style>
  <w:style w:type="paragraph" w:customStyle="1" w:styleId="JuListi">
    <w:name w:val="Ju_List_i"/>
    <w:basedOn w:val="Normal"/>
    <w:next w:val="JuLista"/>
    <w:uiPriority w:val="28"/>
    <w:qFormat/>
    <w:rsid w:val="00062EE3"/>
    <w:pPr>
      <w:ind w:left="794"/>
    </w:pPr>
  </w:style>
  <w:style w:type="character" w:customStyle="1" w:styleId="JUNAMES">
    <w:name w:val="JU_NAMES"/>
    <w:uiPriority w:val="17"/>
    <w:qFormat/>
    <w:rsid w:val="00062EE3"/>
    <w:rPr>
      <w:caps w:val="0"/>
      <w:smallCaps/>
    </w:rPr>
  </w:style>
  <w:style w:type="paragraph" w:styleId="Header">
    <w:name w:val="header"/>
    <w:basedOn w:val="Normal"/>
    <w:link w:val="HeaderChar"/>
    <w:uiPriority w:val="57"/>
    <w:semiHidden/>
    <w:rsid w:val="00062EE3"/>
    <w:pPr>
      <w:tabs>
        <w:tab w:val="center" w:pos="4536"/>
        <w:tab w:val="right" w:pos="9072"/>
      </w:tabs>
    </w:pPr>
    <w:rPr>
      <w:rFonts w:eastAsiaTheme="minorHAnsi"/>
    </w:rPr>
  </w:style>
  <w:style w:type="character" w:customStyle="1" w:styleId="HeaderChar">
    <w:name w:val="Header Char"/>
    <w:basedOn w:val="DefaultParagraphFont"/>
    <w:link w:val="Header"/>
    <w:uiPriority w:val="57"/>
    <w:semiHidden/>
    <w:rsid w:val="00062EE3"/>
    <w:rPr>
      <w:sz w:val="24"/>
      <w:lang w:val="en-GB"/>
    </w:rPr>
  </w:style>
  <w:style w:type="character" w:customStyle="1" w:styleId="Heading1Char">
    <w:name w:val="Heading 1 Char"/>
    <w:basedOn w:val="DefaultParagraphFont"/>
    <w:link w:val="Heading1"/>
    <w:uiPriority w:val="99"/>
    <w:semiHidden/>
    <w:rsid w:val="00062EE3"/>
    <w:rPr>
      <w:rFonts w:asciiTheme="majorHAnsi" w:eastAsiaTheme="majorEastAsia" w:hAnsiTheme="majorHAnsi" w:cstheme="majorBidi"/>
      <w:b/>
      <w:bCs/>
      <w:color w:val="333333"/>
      <w:sz w:val="28"/>
      <w:szCs w:val="28"/>
      <w:lang w:val="en-GB"/>
    </w:rPr>
  </w:style>
  <w:style w:type="paragraph" w:customStyle="1" w:styleId="ECHRHeading1">
    <w:name w:val="ECHR_Heading_1"/>
    <w:aliases w:val="Ju_H_I_Roman"/>
    <w:basedOn w:val="Heading1"/>
    <w:next w:val="ECHRPara"/>
    <w:uiPriority w:val="19"/>
    <w:qFormat/>
    <w:rsid w:val="00062EE3"/>
    <w:pPr>
      <w:keepNext/>
      <w:keepLines/>
      <w:tabs>
        <w:tab w:val="left" w:pos="357"/>
      </w:tabs>
      <w:spacing w:before="360" w:after="240"/>
      <w:ind w:left="357" w:hanging="357"/>
      <w:contextualSpacing w:val="0"/>
    </w:pPr>
    <w:rPr>
      <w:b w:val="0"/>
      <w:color w:val="auto"/>
      <w:sz w:val="24"/>
    </w:rPr>
  </w:style>
  <w:style w:type="paragraph" w:customStyle="1" w:styleId="ECHRHeading2">
    <w:name w:val="ECHR_Heading_2"/>
    <w:aliases w:val="Ju_H_A"/>
    <w:basedOn w:val="Heading2"/>
    <w:next w:val="ECHRPara"/>
    <w:uiPriority w:val="20"/>
    <w:qFormat/>
    <w:rsid w:val="00062EE3"/>
    <w:pPr>
      <w:keepNext/>
      <w:keepLines/>
      <w:tabs>
        <w:tab w:val="left" w:pos="584"/>
      </w:tabs>
      <w:spacing w:before="360" w:after="240"/>
      <w:ind w:left="584" w:hanging="352"/>
    </w:pPr>
    <w:rPr>
      <w:color w:val="auto"/>
      <w:sz w:val="24"/>
    </w:rPr>
  </w:style>
  <w:style w:type="character" w:customStyle="1" w:styleId="Heading2Char">
    <w:name w:val="Heading 2 Char"/>
    <w:basedOn w:val="DefaultParagraphFont"/>
    <w:link w:val="Heading2"/>
    <w:uiPriority w:val="99"/>
    <w:semiHidden/>
    <w:rsid w:val="00062EE3"/>
    <w:rPr>
      <w:rFonts w:asciiTheme="majorHAnsi" w:eastAsiaTheme="majorEastAsia" w:hAnsiTheme="majorHAnsi" w:cstheme="majorBidi"/>
      <w:b/>
      <w:bCs/>
      <w:color w:val="4D4D4D"/>
      <w:sz w:val="26"/>
      <w:szCs w:val="26"/>
      <w:lang w:val="en-GB"/>
    </w:rPr>
  </w:style>
  <w:style w:type="paragraph" w:customStyle="1" w:styleId="JuParaSub">
    <w:name w:val="Ju_Para_Sub"/>
    <w:basedOn w:val="ECHRPara"/>
    <w:uiPriority w:val="13"/>
    <w:qFormat/>
    <w:rsid w:val="00062EE3"/>
    <w:pPr>
      <w:ind w:left="284"/>
    </w:pPr>
  </w:style>
  <w:style w:type="paragraph" w:customStyle="1" w:styleId="JuCase">
    <w:name w:val="Ju_Case"/>
    <w:basedOn w:val="Normal"/>
    <w:next w:val="ECHRPara"/>
    <w:uiPriority w:val="10"/>
    <w:rsid w:val="00062EE3"/>
    <w:pPr>
      <w:ind w:firstLine="284"/>
    </w:pPr>
    <w:rPr>
      <w:b/>
    </w:rPr>
  </w:style>
  <w:style w:type="character" w:customStyle="1" w:styleId="Heading3Char">
    <w:name w:val="Heading 3 Char"/>
    <w:basedOn w:val="DefaultParagraphFont"/>
    <w:link w:val="Heading3"/>
    <w:uiPriority w:val="99"/>
    <w:semiHidden/>
    <w:rsid w:val="00062EE3"/>
    <w:rPr>
      <w:rFonts w:asciiTheme="majorHAnsi" w:eastAsiaTheme="majorEastAsia" w:hAnsiTheme="majorHAnsi" w:cstheme="majorBidi"/>
      <w:b/>
      <w:bCs/>
      <w:color w:val="5F5F5F"/>
      <w:sz w:val="24"/>
      <w:lang w:val="en-GB"/>
    </w:rPr>
  </w:style>
  <w:style w:type="character" w:customStyle="1" w:styleId="Heading4Char">
    <w:name w:val="Heading 4 Char"/>
    <w:basedOn w:val="DefaultParagraphFont"/>
    <w:link w:val="Heading4"/>
    <w:uiPriority w:val="99"/>
    <w:semiHidden/>
    <w:rsid w:val="00062EE3"/>
    <w:rPr>
      <w:rFonts w:asciiTheme="majorHAnsi" w:eastAsiaTheme="majorEastAsia" w:hAnsiTheme="majorHAnsi" w:cstheme="majorBidi"/>
      <w:b/>
      <w:bCs/>
      <w:i/>
      <w:iCs/>
      <w:color w:val="777777"/>
      <w:sz w:val="24"/>
      <w:lang w:val="en-GB"/>
    </w:rPr>
  </w:style>
  <w:style w:type="character" w:customStyle="1" w:styleId="Heading5Char">
    <w:name w:val="Heading 5 Char"/>
    <w:basedOn w:val="DefaultParagraphFont"/>
    <w:link w:val="Heading5"/>
    <w:uiPriority w:val="99"/>
    <w:semiHidden/>
    <w:rsid w:val="00062EE3"/>
    <w:rPr>
      <w:rFonts w:asciiTheme="majorHAnsi" w:eastAsiaTheme="majorEastAsia" w:hAnsiTheme="majorHAnsi" w:cstheme="majorBidi"/>
      <w:b/>
      <w:bCs/>
      <w:color w:val="808080"/>
    </w:rPr>
  </w:style>
  <w:style w:type="character" w:styleId="SubtleEmphasis">
    <w:name w:val="Subtle Emphasis"/>
    <w:uiPriority w:val="99"/>
    <w:semiHidden/>
    <w:qFormat/>
    <w:rsid w:val="00062EE3"/>
    <w:rPr>
      <w:i/>
      <w:iCs/>
    </w:rPr>
  </w:style>
  <w:style w:type="table" w:customStyle="1" w:styleId="ECHRTable">
    <w:name w:val="ECHR_Table"/>
    <w:basedOn w:val="TableNormal"/>
    <w:rsid w:val="00860B03"/>
    <w:rPr>
      <w:rFonts w:eastAsia="Times New Roman" w:cs="Times New Roman"/>
      <w:sz w:val="20"/>
      <w:szCs w:val="20"/>
      <w:lang w:val="en-GB"/>
    </w:rPr>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tblStylePr w:type="firstCol">
      <w:rPr>
        <w:b/>
      </w:rPr>
    </w:tblStylePr>
    <w:tblStylePr w:type="band2Vert">
      <w:tblPr/>
      <w:tcPr>
        <w:tcBorders>
          <w:top w:val="nil"/>
          <w:left w:val="nil"/>
          <w:bottom w:val="nil"/>
          <w:right w:val="nil"/>
          <w:insideH w:val="nil"/>
          <w:insideV w:val="nil"/>
          <w:tl2br w:val="nil"/>
          <w:tr2bl w:val="nil"/>
        </w:tcBorders>
        <w:shd w:val="clear" w:color="auto" w:fill="DFDFDF" w:themeFill="background2" w:themeFillShade="E6"/>
      </w:tcPr>
    </w:tblStylePr>
    <w:tblStylePr w:type="band2Horz">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shd w:val="clear" w:color="auto" w:fill="DFDFDF" w:themeFill="background2" w:themeFillShade="E6"/>
      </w:tcPr>
    </w:tblStylePr>
  </w:style>
  <w:style w:type="table" w:customStyle="1" w:styleId="ECHRTableBoxHeader">
    <w:name w:val="ECHR_Table_Box_Header"/>
    <w:basedOn w:val="TableNormal"/>
    <w:rsid w:val="004C086C"/>
    <w:rPr>
      <w:rFonts w:ascii="Verdana" w:eastAsia="Times New Roman" w:hAnsi="Verdana" w:cs="Times New Roman"/>
      <w:sz w:val="20"/>
      <w:szCs w:val="20"/>
      <w:lang w:val="en-GB"/>
    </w:rPr>
    <w:tblPr>
      <w:tblCellMar>
        <w:top w:w="57" w:type="dxa"/>
        <w:left w:w="57" w:type="dxa"/>
        <w:bottom w:w="57" w:type="dxa"/>
        <w:right w:w="57" w:type="dxa"/>
      </w:tblCellMar>
    </w:tblPr>
    <w:tcPr>
      <w:shd w:val="clear" w:color="auto" w:fill="F8F8F8" w:themeFill="background2"/>
    </w:tcPr>
    <w:tblStylePr w:type="firstCol">
      <w:rPr>
        <w:b/>
        <w:color w:val="5F5F5F" w:themeColor="accent3"/>
      </w:rPr>
    </w:tblStylePr>
  </w:style>
  <w:style w:type="paragraph" w:customStyle="1" w:styleId="ECHRTitle1">
    <w:name w:val="ECHR_Title_1"/>
    <w:aliases w:val="Ju_H_Head"/>
    <w:basedOn w:val="Normal"/>
    <w:next w:val="ECHRPara"/>
    <w:uiPriority w:val="18"/>
    <w:qFormat/>
    <w:rsid w:val="00062EE3"/>
    <w:pPr>
      <w:keepNext/>
      <w:keepLines/>
      <w:spacing w:before="720" w:after="240"/>
      <w:outlineLvl w:val="0"/>
    </w:pPr>
    <w:rPr>
      <w:rFonts w:asciiTheme="majorHAnsi" w:hAnsiTheme="majorHAnsi"/>
      <w:sz w:val="28"/>
    </w:rPr>
  </w:style>
  <w:style w:type="character" w:styleId="Emphasis">
    <w:name w:val="Emphasis"/>
    <w:uiPriority w:val="99"/>
    <w:semiHidden/>
    <w:qFormat/>
    <w:rsid w:val="00062EE3"/>
    <w:rPr>
      <w:b/>
      <w:bCs/>
      <w:i/>
      <w:iCs/>
      <w:spacing w:val="10"/>
      <w:bdr w:val="none" w:sz="0" w:space="0" w:color="auto"/>
      <w:shd w:val="clear" w:color="auto" w:fill="auto"/>
    </w:rPr>
  </w:style>
  <w:style w:type="paragraph" w:styleId="Footer">
    <w:name w:val="footer"/>
    <w:basedOn w:val="Normal"/>
    <w:link w:val="FooterChar"/>
    <w:uiPriority w:val="57"/>
    <w:semiHidden/>
    <w:rsid w:val="00062EE3"/>
    <w:pPr>
      <w:tabs>
        <w:tab w:val="center" w:pos="4536"/>
        <w:tab w:val="right" w:pos="9696"/>
      </w:tabs>
      <w:ind w:left="-680" w:right="-680"/>
    </w:pPr>
    <w:rPr>
      <w:rFonts w:eastAsiaTheme="minorHAnsi"/>
    </w:rPr>
  </w:style>
  <w:style w:type="character" w:customStyle="1" w:styleId="FooterChar">
    <w:name w:val="Footer Char"/>
    <w:basedOn w:val="DefaultParagraphFont"/>
    <w:link w:val="Footer"/>
    <w:uiPriority w:val="57"/>
    <w:semiHidden/>
    <w:rsid w:val="00062EE3"/>
    <w:rPr>
      <w:sz w:val="24"/>
      <w:lang w:val="en-GB"/>
    </w:rPr>
  </w:style>
  <w:style w:type="character" w:styleId="FootnoteReference">
    <w:name w:val="footnote reference"/>
    <w:basedOn w:val="DefaultParagraphFont"/>
    <w:uiPriority w:val="99"/>
    <w:semiHidden/>
    <w:rsid w:val="00062EE3"/>
    <w:rPr>
      <w:vertAlign w:val="superscript"/>
    </w:rPr>
  </w:style>
  <w:style w:type="paragraph" w:styleId="FootnoteText">
    <w:name w:val="footnote text"/>
    <w:basedOn w:val="Normal"/>
    <w:link w:val="FootnoteTextChar"/>
    <w:uiPriority w:val="99"/>
    <w:semiHidden/>
    <w:rsid w:val="00062EE3"/>
    <w:rPr>
      <w:sz w:val="20"/>
      <w:szCs w:val="20"/>
    </w:rPr>
  </w:style>
  <w:style w:type="character" w:customStyle="1" w:styleId="FootnoteTextChar">
    <w:name w:val="Footnote Text Char"/>
    <w:basedOn w:val="DefaultParagraphFont"/>
    <w:link w:val="FootnoteText"/>
    <w:uiPriority w:val="99"/>
    <w:semiHidden/>
    <w:rsid w:val="00062EE3"/>
    <w:rPr>
      <w:rFonts w:eastAsiaTheme="minorEastAsia"/>
      <w:sz w:val="20"/>
      <w:szCs w:val="20"/>
      <w:lang w:val="en-GB"/>
    </w:rPr>
  </w:style>
  <w:style w:type="character" w:customStyle="1" w:styleId="Heading6Char">
    <w:name w:val="Heading 6 Char"/>
    <w:basedOn w:val="DefaultParagraphFont"/>
    <w:link w:val="Heading6"/>
    <w:uiPriority w:val="99"/>
    <w:semiHidden/>
    <w:rsid w:val="00062EE3"/>
    <w:rPr>
      <w:rFonts w:asciiTheme="majorHAnsi" w:eastAsiaTheme="majorEastAsia" w:hAnsiTheme="majorHAnsi" w:cstheme="majorBidi"/>
      <w:b/>
      <w:bCs/>
      <w:i/>
      <w:iCs/>
      <w:color w:val="7F7F7F" w:themeColor="text1" w:themeTint="80"/>
      <w:sz w:val="24"/>
      <w:lang w:val="en-GB" w:bidi="en-US"/>
    </w:rPr>
  </w:style>
  <w:style w:type="character" w:customStyle="1" w:styleId="Heading7Char">
    <w:name w:val="Heading 7 Char"/>
    <w:basedOn w:val="DefaultParagraphFont"/>
    <w:link w:val="Heading7"/>
    <w:uiPriority w:val="99"/>
    <w:semiHidden/>
    <w:rsid w:val="00062EE3"/>
    <w:rPr>
      <w:rFonts w:asciiTheme="majorHAnsi" w:eastAsiaTheme="majorEastAsia" w:hAnsiTheme="majorHAnsi" w:cstheme="majorBidi"/>
      <w:i/>
      <w:iCs/>
      <w:lang w:bidi="en-US"/>
    </w:rPr>
  </w:style>
  <w:style w:type="character" w:customStyle="1" w:styleId="Heading8Char">
    <w:name w:val="Heading 8 Char"/>
    <w:basedOn w:val="DefaultParagraphFont"/>
    <w:link w:val="Heading8"/>
    <w:uiPriority w:val="99"/>
    <w:semiHidden/>
    <w:rsid w:val="00062EE3"/>
    <w:rPr>
      <w:rFonts w:asciiTheme="majorHAnsi" w:eastAsiaTheme="majorEastAsia" w:hAnsiTheme="majorHAnsi" w:cstheme="majorBidi"/>
      <w:sz w:val="20"/>
      <w:szCs w:val="20"/>
      <w:lang w:bidi="en-US"/>
    </w:rPr>
  </w:style>
  <w:style w:type="character" w:customStyle="1" w:styleId="Heading9Char">
    <w:name w:val="Heading 9 Char"/>
    <w:basedOn w:val="DefaultParagraphFont"/>
    <w:link w:val="Heading9"/>
    <w:uiPriority w:val="99"/>
    <w:semiHidden/>
    <w:rsid w:val="00062EE3"/>
    <w:rPr>
      <w:rFonts w:asciiTheme="majorHAnsi" w:eastAsiaTheme="majorEastAsia" w:hAnsiTheme="majorHAnsi" w:cstheme="majorBidi"/>
      <w:i/>
      <w:iCs/>
      <w:spacing w:val="5"/>
      <w:sz w:val="20"/>
      <w:szCs w:val="20"/>
      <w:lang w:bidi="en-US"/>
    </w:rPr>
  </w:style>
  <w:style w:type="character" w:styleId="Hyperlink">
    <w:name w:val="Hyperlink"/>
    <w:basedOn w:val="DefaultParagraphFont"/>
    <w:uiPriority w:val="99"/>
    <w:semiHidden/>
    <w:rsid w:val="00062EE3"/>
    <w:rPr>
      <w:color w:val="0072BC" w:themeColor="hyperlink"/>
      <w:u w:val="single"/>
    </w:rPr>
  </w:style>
  <w:style w:type="character" w:styleId="IntenseEmphasis">
    <w:name w:val="Intense Emphasis"/>
    <w:uiPriority w:val="99"/>
    <w:semiHidden/>
    <w:qFormat/>
    <w:rsid w:val="00062EE3"/>
    <w:rPr>
      <w:b/>
      <w:bCs/>
    </w:rPr>
  </w:style>
  <w:style w:type="paragraph" w:styleId="IntenseQuote">
    <w:name w:val="Intense Quote"/>
    <w:basedOn w:val="Normal"/>
    <w:next w:val="Normal"/>
    <w:link w:val="IntenseQuoteChar"/>
    <w:uiPriority w:val="99"/>
    <w:semiHidden/>
    <w:qFormat/>
    <w:rsid w:val="00062EE3"/>
    <w:pPr>
      <w:pBdr>
        <w:bottom w:val="single" w:sz="4" w:space="1" w:color="auto"/>
      </w:pBdr>
      <w:spacing w:before="200" w:after="280"/>
      <w:ind w:left="1008" w:right="1152"/>
    </w:pPr>
    <w:rPr>
      <w:b/>
      <w:bCs/>
      <w:i/>
      <w:iCs/>
      <w:sz w:val="22"/>
      <w:lang w:val="en-US" w:bidi="en-US"/>
    </w:rPr>
  </w:style>
  <w:style w:type="character" w:customStyle="1" w:styleId="IntenseQuoteChar">
    <w:name w:val="Intense Quote Char"/>
    <w:basedOn w:val="DefaultParagraphFont"/>
    <w:link w:val="IntenseQuote"/>
    <w:uiPriority w:val="99"/>
    <w:semiHidden/>
    <w:rsid w:val="00062EE3"/>
    <w:rPr>
      <w:rFonts w:eastAsiaTheme="minorEastAsia"/>
      <w:b/>
      <w:bCs/>
      <w:i/>
      <w:iCs/>
      <w:lang w:bidi="en-US"/>
    </w:rPr>
  </w:style>
  <w:style w:type="character" w:styleId="IntenseReference">
    <w:name w:val="Intense Reference"/>
    <w:uiPriority w:val="99"/>
    <w:semiHidden/>
    <w:qFormat/>
    <w:rsid w:val="00062EE3"/>
    <w:rPr>
      <w:smallCaps/>
      <w:spacing w:val="5"/>
      <w:u w:val="single"/>
    </w:rPr>
  </w:style>
  <w:style w:type="paragraph" w:styleId="ListParagraph">
    <w:name w:val="List Paragraph"/>
    <w:basedOn w:val="Normal"/>
    <w:uiPriority w:val="99"/>
    <w:semiHidden/>
    <w:qFormat/>
    <w:rsid w:val="00062EE3"/>
    <w:pPr>
      <w:ind w:left="720"/>
      <w:contextualSpacing/>
    </w:pPr>
  </w:style>
  <w:style w:type="table" w:customStyle="1" w:styleId="LtrTableAddress">
    <w:name w:val="Ltr_Table_Address"/>
    <w:basedOn w:val="TableNormal"/>
    <w:uiPriority w:val="99"/>
    <w:rsid w:val="001E6F32"/>
    <w:tblPr>
      <w:tblInd w:w="5103" w:type="dxa"/>
    </w:tblPr>
  </w:style>
  <w:style w:type="paragraph" w:styleId="Quote">
    <w:name w:val="Quote"/>
    <w:basedOn w:val="Normal"/>
    <w:next w:val="Normal"/>
    <w:link w:val="QuoteChar"/>
    <w:uiPriority w:val="99"/>
    <w:semiHidden/>
    <w:qFormat/>
    <w:rsid w:val="00062EE3"/>
    <w:pPr>
      <w:spacing w:before="200"/>
      <w:ind w:left="360" w:right="360"/>
    </w:pPr>
    <w:rPr>
      <w:i/>
      <w:iCs/>
      <w:sz w:val="22"/>
      <w:lang w:val="en-US" w:bidi="en-US"/>
    </w:rPr>
  </w:style>
  <w:style w:type="character" w:customStyle="1" w:styleId="QuoteChar">
    <w:name w:val="Quote Char"/>
    <w:basedOn w:val="DefaultParagraphFont"/>
    <w:link w:val="Quote"/>
    <w:uiPriority w:val="99"/>
    <w:semiHidden/>
    <w:rsid w:val="00062EE3"/>
    <w:rPr>
      <w:rFonts w:eastAsiaTheme="minorEastAsia"/>
      <w:i/>
      <w:iCs/>
      <w:lang w:bidi="en-US"/>
    </w:rPr>
  </w:style>
  <w:style w:type="character" w:styleId="SubtleReference">
    <w:name w:val="Subtle Reference"/>
    <w:uiPriority w:val="99"/>
    <w:semiHidden/>
    <w:qFormat/>
    <w:rsid w:val="00062EE3"/>
    <w:rPr>
      <w:smallCaps/>
    </w:rPr>
  </w:style>
  <w:style w:type="table" w:styleId="TableGrid">
    <w:name w:val="Table Grid"/>
    <w:basedOn w:val="TableNormal"/>
    <w:uiPriority w:val="59"/>
    <w:semiHidden/>
    <w:rsid w:val="00062EE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99"/>
    <w:semiHidden/>
    <w:rsid w:val="00062EE3"/>
    <w:pPr>
      <w:keepNext/>
      <w:tabs>
        <w:tab w:val="right" w:leader="dot" w:pos="7371"/>
      </w:tabs>
      <w:spacing w:before="160" w:after="60" w:line="240" w:lineRule="exact"/>
      <w:ind w:left="340" w:right="567" w:hanging="340"/>
    </w:pPr>
    <w:rPr>
      <w:b/>
      <w:sz w:val="22"/>
    </w:rPr>
  </w:style>
  <w:style w:type="paragraph" w:styleId="TOC2">
    <w:name w:val="toc 2"/>
    <w:basedOn w:val="Normal"/>
    <w:next w:val="Normal"/>
    <w:autoRedefine/>
    <w:uiPriority w:val="99"/>
    <w:semiHidden/>
    <w:rsid w:val="00062EE3"/>
    <w:pPr>
      <w:keepNext/>
      <w:tabs>
        <w:tab w:val="right" w:leader="dot" w:pos="7371"/>
      </w:tabs>
      <w:spacing w:after="60" w:line="240" w:lineRule="exact"/>
      <w:ind w:left="680" w:right="567" w:hanging="340"/>
    </w:pPr>
    <w:rPr>
      <w:sz w:val="22"/>
    </w:rPr>
  </w:style>
  <w:style w:type="paragraph" w:styleId="TOC3">
    <w:name w:val="toc 3"/>
    <w:basedOn w:val="Normal"/>
    <w:next w:val="Normal"/>
    <w:autoRedefine/>
    <w:uiPriority w:val="99"/>
    <w:semiHidden/>
    <w:rsid w:val="00062EE3"/>
    <w:pPr>
      <w:keepNext/>
      <w:tabs>
        <w:tab w:val="right" w:leader="dot" w:pos="7371"/>
      </w:tabs>
      <w:spacing w:after="60" w:line="240" w:lineRule="exact"/>
      <w:ind w:left="1020" w:right="567" w:hanging="340"/>
    </w:pPr>
    <w:rPr>
      <w:sz w:val="20"/>
    </w:rPr>
  </w:style>
  <w:style w:type="paragraph" w:styleId="TOC4">
    <w:name w:val="toc 4"/>
    <w:basedOn w:val="Normal"/>
    <w:next w:val="Normal"/>
    <w:autoRedefine/>
    <w:uiPriority w:val="99"/>
    <w:semiHidden/>
    <w:rsid w:val="00062EE3"/>
    <w:pPr>
      <w:tabs>
        <w:tab w:val="right" w:leader="dot" w:pos="7371"/>
      </w:tabs>
      <w:spacing w:after="60" w:line="240" w:lineRule="exact"/>
      <w:ind w:left="1361" w:right="567" w:hanging="340"/>
    </w:pPr>
    <w:rPr>
      <w:sz w:val="20"/>
    </w:rPr>
  </w:style>
  <w:style w:type="paragraph" w:styleId="TOC5">
    <w:name w:val="toc 5"/>
    <w:basedOn w:val="Normal"/>
    <w:next w:val="Normal"/>
    <w:autoRedefine/>
    <w:uiPriority w:val="99"/>
    <w:semiHidden/>
    <w:rsid w:val="00062EE3"/>
    <w:pPr>
      <w:tabs>
        <w:tab w:val="right" w:leader="dot" w:pos="7371"/>
      </w:tabs>
      <w:spacing w:after="60" w:line="240" w:lineRule="exact"/>
      <w:ind w:left="1701" w:right="567" w:hanging="340"/>
    </w:pPr>
    <w:rPr>
      <w:sz w:val="20"/>
    </w:rPr>
  </w:style>
  <w:style w:type="paragraph" w:styleId="TOCHeading">
    <w:name w:val="TOC Heading"/>
    <w:basedOn w:val="Normal"/>
    <w:next w:val="Normal"/>
    <w:uiPriority w:val="99"/>
    <w:semiHidden/>
    <w:qFormat/>
    <w:rsid w:val="00062EE3"/>
    <w:pPr>
      <w:keepNext/>
      <w:keepLines/>
      <w:spacing w:before="240"/>
      <w:contextualSpacing/>
      <w:jc w:val="center"/>
    </w:pPr>
    <w:rPr>
      <w:rFonts w:asciiTheme="majorHAnsi" w:eastAsiaTheme="minorHAnsi" w:hAnsiTheme="majorHAnsi"/>
      <w:b/>
      <w:color w:val="474747" w:themeColor="accent3" w:themeShade="BF"/>
      <w:sz w:val="28"/>
    </w:rPr>
  </w:style>
  <w:style w:type="table" w:customStyle="1" w:styleId="UGTable">
    <w:name w:val="UG_Table"/>
    <w:basedOn w:val="TableNormal"/>
    <w:uiPriority w:val="99"/>
    <w:rsid w:val="00801300"/>
    <w:rPr>
      <w:rFonts w:eastAsiaTheme="minorEastAsia"/>
      <w:sz w:val="20"/>
      <w:lang w:val="en-GB" w:eastAsia="en-GB"/>
    </w:rPr>
    <w:tblPr>
      <w:tblInd w:w="-1191" w:type="dxa"/>
      <w:tblCellMar>
        <w:top w:w="57" w:type="dxa"/>
        <w:left w:w="0" w:type="dxa"/>
        <w:right w:w="0" w:type="dxa"/>
      </w:tblCellMar>
    </w:tblPr>
    <w:tblStylePr w:type="swCell">
      <w:tblPr/>
      <w:tcPr>
        <w:tcBorders>
          <w:top w:val="nil"/>
          <w:left w:val="nil"/>
          <w:bottom w:val="nil"/>
          <w:right w:val="nil"/>
          <w:insideH w:val="nil"/>
          <w:insideV w:val="nil"/>
          <w:tl2br w:val="nil"/>
          <w:tr2bl w:val="nil"/>
        </w:tcBorders>
        <w:shd w:val="clear" w:color="auto" w:fill="EAEAEA"/>
      </w:tcPr>
    </w:tblStylePr>
  </w:style>
  <w:style w:type="table" w:customStyle="1" w:styleId="UGTableWhiteBox">
    <w:name w:val="UG_Table_White_Box"/>
    <w:basedOn w:val="TableNormal"/>
    <w:uiPriority w:val="99"/>
    <w:rsid w:val="00801300"/>
    <w:rPr>
      <w:rFonts w:eastAsiaTheme="minorEastAsia"/>
      <w:lang w:val="en-GB" w:eastAsia="en-GB"/>
    </w:rPr>
    <w:tblPr>
      <w:tblBorders>
        <w:top w:val="single" w:sz="4" w:space="0" w:color="B9B9B9" w:themeColor="background2" w:themeShade="BF"/>
        <w:left w:val="single" w:sz="4" w:space="0" w:color="B9B9B9" w:themeColor="background2" w:themeShade="BF"/>
        <w:bottom w:val="single" w:sz="4" w:space="0" w:color="B9B9B9" w:themeColor="background2" w:themeShade="BF"/>
        <w:right w:val="single" w:sz="4" w:space="0" w:color="B9B9B9" w:themeColor="background2" w:themeShade="BF"/>
      </w:tblBorders>
      <w:tblCellMar>
        <w:top w:w="113" w:type="dxa"/>
        <w:left w:w="113" w:type="dxa"/>
        <w:bottom w:w="113" w:type="dxa"/>
        <w:right w:w="113" w:type="dxa"/>
      </w:tblCellMar>
    </w:tblPr>
    <w:tcPr>
      <w:shd w:val="clear" w:color="auto" w:fill="FFFFFF"/>
    </w:tcPr>
  </w:style>
  <w:style w:type="table" w:customStyle="1" w:styleId="PCFTableStyle">
    <w:name w:val="PCF_Table_Style"/>
    <w:basedOn w:val="TableNormal"/>
    <w:uiPriority w:val="99"/>
    <w:rsid w:val="00810B38"/>
    <w:rPr>
      <w:color w:val="000000" w:themeColor="text1"/>
      <w:sz w:val="18"/>
    </w:rPr>
    <w:tblPr>
      <w:tblBorders>
        <w:top w:val="single" w:sz="8" w:space="0" w:color="9F9F9F" w:themeColor="accent3" w:themeTint="99"/>
        <w:left w:val="single" w:sz="8" w:space="0" w:color="9F9F9F" w:themeColor="accent3" w:themeTint="99"/>
        <w:bottom w:val="single" w:sz="8" w:space="0" w:color="9F9F9F" w:themeColor="accent3" w:themeTint="99"/>
        <w:right w:val="single" w:sz="8" w:space="0" w:color="9F9F9F" w:themeColor="accent3" w:themeTint="99"/>
        <w:insideH w:val="single" w:sz="8" w:space="0" w:color="9F9F9F" w:themeColor="accent3" w:themeTint="99"/>
        <w:insideV w:val="single" w:sz="8" w:space="0" w:color="9F9F9F" w:themeColor="accent3" w:themeTint="99"/>
      </w:tblBorders>
    </w:tblPr>
    <w:tblStylePr w:type="firstRow">
      <w:pPr>
        <w:wordWrap/>
        <w:spacing w:beforeLines="0" w:before="120" w:beforeAutospacing="0" w:afterLines="0" w:after="120" w:afterAutospacing="0" w:line="240" w:lineRule="auto"/>
        <w:contextualSpacing/>
        <w:jc w:val="center"/>
      </w:pPr>
      <w:rPr>
        <w:b/>
        <w:i w:val="0"/>
        <w:color w:val="FFFFFF"/>
        <w:sz w:val="20"/>
      </w:rPr>
      <w:tblPr/>
      <w:tcPr>
        <w:tcBorders>
          <w:top w:val="nil"/>
          <w:left w:val="nil"/>
          <w:bottom w:val="nil"/>
          <w:right w:val="nil"/>
          <w:insideH w:val="nil"/>
          <w:insideV w:val="nil"/>
          <w:tl2br w:val="nil"/>
          <w:tr2bl w:val="nil"/>
        </w:tcBorders>
        <w:shd w:val="clear" w:color="auto" w:fill="0072BC" w:themeFill="accent1"/>
        <w:vAlign w:val="center"/>
      </w:tcPr>
    </w:tblStylePr>
    <w:tblStylePr w:type="firstCol">
      <w:pPr>
        <w:jc w:val="left"/>
      </w:pPr>
      <w:tblPr/>
      <w:tcPr>
        <w:vAlign w:val="center"/>
      </w:tcPr>
    </w:tblStylePr>
  </w:style>
  <w:style w:type="table" w:customStyle="1" w:styleId="ECHRTableFax">
    <w:name w:val="ECHR_Table_Fax"/>
    <w:basedOn w:val="TableNormal"/>
    <w:uiPriority w:val="99"/>
    <w:rsid w:val="00893576"/>
    <w:rPr>
      <w:color w:val="000000" w:themeColor="text1"/>
    </w:rPr>
    <w:tblPr>
      <w:tblInd w:w="-680" w:type="dxa"/>
      <w:tblBorders>
        <w:insideH w:val="single" w:sz="4" w:space="0" w:color="C6C6C6" w:themeColor="text2"/>
        <w:insideV w:val="single" w:sz="4" w:space="0" w:color="C6C6C6" w:themeColor="text2"/>
      </w:tblBorders>
      <w:tblCellMar>
        <w:top w:w="142" w:type="dxa"/>
        <w:bottom w:w="142" w:type="dxa"/>
      </w:tblCellMar>
    </w:tblPr>
    <w:trPr>
      <w:cantSplit/>
    </w:trPr>
  </w:style>
  <w:style w:type="table" w:customStyle="1" w:styleId="ECHRTableMemo">
    <w:name w:val="ECHR_Table_Memo"/>
    <w:basedOn w:val="TableNormal"/>
    <w:uiPriority w:val="99"/>
    <w:rsid w:val="00210338"/>
    <w:tblPr>
      <w:jc w:val="center"/>
      <w:tblCellMar>
        <w:top w:w="113" w:type="dxa"/>
        <w:left w:w="0" w:type="dxa"/>
        <w:bottom w:w="113" w:type="dxa"/>
        <w:right w:w="0" w:type="dxa"/>
      </w:tblCellMar>
    </w:tblPr>
    <w:trPr>
      <w:jc w:val="center"/>
    </w:trPr>
    <w:tblStylePr w:type="lastRow">
      <w:tblPr/>
      <w:tcPr>
        <w:tcBorders>
          <w:top w:val="nil"/>
          <w:left w:val="nil"/>
          <w:bottom w:val="single" w:sz="4" w:space="0" w:color="949494" w:themeColor="text2" w:themeShade="BF"/>
          <w:right w:val="nil"/>
          <w:insideH w:val="nil"/>
          <w:insideV w:val="nil"/>
          <w:tl2br w:val="nil"/>
          <w:tr2bl w:val="nil"/>
        </w:tcBorders>
      </w:tcPr>
    </w:tblStylePr>
  </w:style>
  <w:style w:type="table" w:customStyle="1" w:styleId="ECHRDNTable">
    <w:name w:val="ECHR_DN_Table"/>
    <w:aliases w:val="DN_Table"/>
    <w:basedOn w:val="TableNormal"/>
    <w:uiPriority w:val="99"/>
    <w:rsid w:val="0090506B"/>
    <w:tblPr>
      <w:jc w:val="center"/>
      <w:tblBorders>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57" w:type="dxa"/>
        <w:bottom w:w="57" w:type="dxa"/>
      </w:tblCellMar>
    </w:tblPr>
    <w:trPr>
      <w:jc w:val="center"/>
    </w:trPr>
    <w:tcPr>
      <w:vAlign w:val="center"/>
    </w:tcPr>
    <w:tblStylePr w:type="firstRow">
      <w:pPr>
        <w:wordWrap/>
        <w:spacing w:beforeLines="0"/>
        <w:ind w:leftChars="0" w:left="0"/>
      </w:pPr>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nil"/>
          <w:right w:val="single" w:sz="4" w:space="0" w:color="949494" w:themeColor="text2" w:themeShade="BF"/>
          <w:insideH w:val="nil"/>
          <w:insideV w:val="nil"/>
          <w:tl2br w:val="nil"/>
          <w:tr2bl w:val="nil"/>
        </w:tcBorders>
        <w:shd w:val="clear" w:color="auto" w:fill="DFDFDF" w:themeFill="background2" w:themeFillShade="E6"/>
      </w:tcPr>
    </w:tblStylePr>
  </w:style>
  <w:style w:type="paragraph" w:styleId="TOAHeading">
    <w:name w:val="toa heading"/>
    <w:basedOn w:val="Normal"/>
    <w:next w:val="Normal"/>
    <w:uiPriority w:val="99"/>
    <w:semiHidden/>
    <w:rsid w:val="00062EE3"/>
    <w:pPr>
      <w:keepNext/>
      <w:keepLines/>
      <w:spacing w:before="240"/>
      <w:contextualSpacing/>
      <w:jc w:val="center"/>
    </w:pPr>
    <w:rPr>
      <w:rFonts w:asciiTheme="majorHAnsi" w:eastAsiaTheme="majorEastAsia" w:hAnsiTheme="majorHAnsi" w:cstheme="majorBidi"/>
      <w:b/>
      <w:bCs/>
      <w:color w:val="474747" w:themeColor="accent3" w:themeShade="BF"/>
      <w:sz w:val="28"/>
      <w:szCs w:val="24"/>
    </w:rPr>
  </w:style>
  <w:style w:type="paragraph" w:customStyle="1" w:styleId="ECHRParaQuote">
    <w:name w:val="ECHR_Para_Quote"/>
    <w:aliases w:val="Ju_Quot"/>
    <w:basedOn w:val="Normal"/>
    <w:uiPriority w:val="14"/>
    <w:qFormat/>
    <w:rsid w:val="00062EE3"/>
    <w:pPr>
      <w:spacing w:before="120" w:after="120"/>
      <w:ind w:left="425" w:firstLine="142"/>
    </w:pPr>
    <w:rPr>
      <w:sz w:val="20"/>
    </w:rPr>
  </w:style>
  <w:style w:type="paragraph" w:customStyle="1" w:styleId="ECHRPara">
    <w:name w:val="ECHR_Para"/>
    <w:aliases w:val="Ju_Para"/>
    <w:basedOn w:val="Normal"/>
    <w:link w:val="ECHRParaChar"/>
    <w:uiPriority w:val="12"/>
    <w:qFormat/>
    <w:rsid w:val="00062EE3"/>
    <w:pPr>
      <w:ind w:firstLine="284"/>
    </w:pPr>
  </w:style>
  <w:style w:type="table" w:customStyle="1" w:styleId="ECHRTableSimpleBox">
    <w:name w:val="ECHR_Table_Simple_Box"/>
    <w:basedOn w:val="TableNormal"/>
    <w:uiPriority w:val="99"/>
    <w:rsid w:val="00AE354C"/>
    <w:tblPr>
      <w:tblBorders>
        <w:top w:val="single" w:sz="4" w:space="0" w:color="9F9F9F" w:themeColor="accent3" w:themeTint="99"/>
        <w:left w:val="single" w:sz="4" w:space="0" w:color="9F9F9F" w:themeColor="accent3" w:themeTint="99"/>
        <w:bottom w:val="single" w:sz="4" w:space="0" w:color="9F9F9F" w:themeColor="accent3" w:themeTint="99"/>
        <w:right w:val="single" w:sz="4" w:space="0" w:color="9F9F9F" w:themeColor="accent3" w:themeTint="99"/>
      </w:tblBorders>
      <w:tblCellMar>
        <w:top w:w="113" w:type="dxa"/>
        <w:bottom w:w="113" w:type="dxa"/>
      </w:tblCellMar>
    </w:tblPr>
  </w:style>
  <w:style w:type="table" w:customStyle="1" w:styleId="ECHRTableNoLines">
    <w:name w:val="ECHR_Table_No_Lines"/>
    <w:basedOn w:val="TableNormal"/>
    <w:uiPriority w:val="99"/>
    <w:rsid w:val="00F218EF"/>
    <w:tblPr>
      <w:tblCellMar>
        <w:top w:w="85" w:type="dxa"/>
        <w:left w:w="142" w:type="dxa"/>
        <w:bottom w:w="28" w:type="dxa"/>
        <w:right w:w="142" w:type="dxa"/>
      </w:tblCellMar>
    </w:tblPr>
    <w:tblStylePr w:type="firstRow">
      <w:rPr>
        <w:rFonts w:asciiTheme="majorHAnsi" w:hAnsiTheme="majorHAnsi"/>
        <w:b/>
        <w:i w:val="0"/>
        <w:color w:val="474747" w:themeColor="accent3" w:themeShade="BF"/>
        <w:sz w:val="24"/>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nil"/>
          <w:tl2br w:val="nil"/>
          <w:tr2bl w:val="nil"/>
        </w:tcBorders>
        <w:shd w:val="clear" w:color="auto" w:fill="DFDFDF" w:themeFill="background2" w:themeFillShade="E6"/>
      </w:tcPr>
    </w:tblStylePr>
    <w:tblStylePr w:type="firstCol">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tcPr>
    </w:tblStylePr>
  </w:style>
  <w:style w:type="table" w:customStyle="1" w:styleId="ECHRTableForInternalUse">
    <w:name w:val="ECHR_Table_For_Internal_Use"/>
    <w:basedOn w:val="TableNormal"/>
    <w:uiPriority w:val="99"/>
    <w:rsid w:val="005474E7"/>
    <w:rPr>
      <w:color w:val="636363" w:themeColor="text2" w:themeShade="80"/>
      <w:sz w:val="18"/>
    </w:rPr>
    <w:tblPr>
      <w:tblStyleColBandSize w:val="1"/>
      <w:jc w:val="right"/>
      <w:tblCellMar>
        <w:top w:w="113" w:type="dxa"/>
        <w:bottom w:w="28" w:type="dxa"/>
      </w:tblCellMar>
    </w:tblPr>
    <w:trPr>
      <w:jc w:val="right"/>
    </w:trPr>
    <w:tblStylePr w:type="firstRow">
      <w:rPr>
        <w:b/>
      </w:rPr>
    </w:tblStylePr>
    <w:tblStylePr w:type="lastCol">
      <w:pPr>
        <w:jc w:val="right"/>
      </w:p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tblStylePr w:type="band1Vert">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l2br w:val="nil"/>
          <w:tr2bl w:val="nil"/>
        </w:tcBorders>
      </w:tcPr>
    </w:tblStylePr>
  </w:style>
  <w:style w:type="table" w:customStyle="1" w:styleId="ECHRListTable">
    <w:name w:val="ECHR_List_Table"/>
    <w:basedOn w:val="TableNormal"/>
    <w:uiPriority w:val="99"/>
    <w:rsid w:val="00062EE3"/>
    <w:tblPr>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b/>
        <w:color w:val="474747" w:themeColor="accent3" w:themeShade="BF"/>
      </w:rPr>
      <w:tblPr/>
      <w:trPr>
        <w:tblHeader/>
      </w:tr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cBorders>
        <w:shd w:val="clear" w:color="auto" w:fill="DFDFDF" w:themeFill="background2" w:themeFillShade="E6"/>
      </w:tcPr>
    </w:tblStylePr>
  </w:style>
  <w:style w:type="table" w:customStyle="1" w:styleId="ECHRHeaderTable">
    <w:name w:val="ECHR_Header_Table"/>
    <w:basedOn w:val="TableNormal"/>
    <w:uiPriority w:val="99"/>
    <w:rsid w:val="00661971"/>
    <w:tblPr>
      <w:tblInd w:w="-680" w:type="dxa"/>
      <w:tblBorders>
        <w:bottom w:val="single" w:sz="6" w:space="0" w:color="949494" w:themeColor="text2" w:themeShade="BF"/>
      </w:tblBorders>
      <w:tblCellMar>
        <w:left w:w="0" w:type="dxa"/>
        <w:bottom w:w="28" w:type="dxa"/>
        <w:right w:w="0" w:type="dxa"/>
      </w:tblCellMar>
    </w:tblPr>
    <w:tcPr>
      <w:vAlign w:val="bottom"/>
    </w:tcPr>
    <w:tblStylePr w:type="lastCol">
      <w:pPr>
        <w:wordWrap/>
        <w:jc w:val="both"/>
      </w:pPr>
    </w:tblStylePr>
  </w:style>
  <w:style w:type="table" w:customStyle="1" w:styleId="ECHRTableOddBanded">
    <w:name w:val="ECHR_Table_Odd_Banded"/>
    <w:basedOn w:val="TableNormal"/>
    <w:uiPriority w:val="99"/>
    <w:rsid w:val="00860B03"/>
    <w:tblPr>
      <w:tblStyleRowBandSize w:val="1"/>
      <w:tblStyleColBandSize w:val="1"/>
      <w:tbl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single" w:sz="4" w:space="0" w:color="949494" w:themeColor="text2" w:themeShade="BF"/>
        <w:insideV w:val="single" w:sz="4" w:space="0" w:color="949494" w:themeColor="text2" w:themeShade="BF"/>
      </w:tblBorders>
      <w:tblCellMar>
        <w:top w:w="28" w:type="dxa"/>
        <w:bottom w:w="28" w:type="dxa"/>
      </w:tblCellMar>
    </w:tblPr>
    <w:tblStylePr w:type="firstRow">
      <w:rPr>
        <w:rFonts w:asciiTheme="majorHAnsi" w:hAnsiTheme="majorHAnsi"/>
        <w:b/>
        <w:i w:val="0"/>
        <w:color w:val="474747" w:themeColor="accent3" w:themeShade="BF"/>
        <w:sz w:val="22"/>
      </w:rPr>
      <w:tblPr/>
      <w:tcPr>
        <w:tcBorders>
          <w:top w:val="single" w:sz="4" w:space="0" w:color="949494" w:themeColor="text2" w:themeShade="BF"/>
          <w:left w:val="single" w:sz="4" w:space="0" w:color="949494" w:themeColor="text2" w:themeShade="BF"/>
          <w:bottom w:val="single" w:sz="4" w:space="0" w:color="949494" w:themeColor="text2" w:themeShade="BF"/>
          <w:right w:val="single" w:sz="4" w:space="0" w:color="949494" w:themeColor="text2" w:themeShade="BF"/>
          <w:insideH w:val="nil"/>
          <w:insideV w:val="single" w:sz="4" w:space="0" w:color="949494" w:themeColor="text2" w:themeShade="BF"/>
          <w:tl2br w:val="nil"/>
          <w:tr2bl w:val="nil"/>
        </w:tcBorders>
        <w:shd w:val="clear" w:color="auto" w:fill="DFDFDF" w:themeFill="background2" w:themeFillShade="E6"/>
      </w:tcPr>
    </w:tblStylePr>
    <w:tblStylePr w:type="band1Vert">
      <w:tblPr/>
      <w:tcPr>
        <w:tcBorders>
          <w:top w:val="nil"/>
          <w:left w:val="nil"/>
          <w:bottom w:val="nil"/>
          <w:right w:val="nil"/>
          <w:insideH w:val="nil"/>
          <w:insideV w:val="nil"/>
          <w:tl2br w:val="nil"/>
          <w:tr2bl w:val="nil"/>
        </w:tcBorders>
        <w:shd w:val="clear" w:color="auto" w:fill="DFDFDF" w:themeFill="background2" w:themeFillShade="E6"/>
      </w:tcPr>
    </w:tblStylePr>
    <w:tblStylePr w:type="band1Horz">
      <w:rPr>
        <w:b/>
      </w:rPr>
      <w:tblPr/>
      <w:tcPr>
        <w:shd w:val="clear" w:color="auto" w:fill="DFDFDF" w:themeFill="background2" w:themeFillShade="E6"/>
      </w:tcPr>
    </w:tblStylePr>
  </w:style>
  <w:style w:type="paragraph" w:customStyle="1" w:styleId="ECHRDecisionBody">
    <w:name w:val="ECHR_Decision_Body"/>
    <w:aliases w:val="Ju_Judges"/>
    <w:basedOn w:val="Normal"/>
    <w:uiPriority w:val="11"/>
    <w:qFormat/>
    <w:rsid w:val="00062EE3"/>
    <w:pPr>
      <w:tabs>
        <w:tab w:val="left" w:pos="567"/>
        <w:tab w:val="left" w:pos="1134"/>
      </w:tabs>
      <w:jc w:val="left"/>
    </w:pPr>
  </w:style>
  <w:style w:type="table" w:customStyle="1" w:styleId="ECHRHeaderTableReduced">
    <w:name w:val="ECHR_Header_Table_Reduced"/>
    <w:basedOn w:val="TableNormal"/>
    <w:uiPriority w:val="99"/>
    <w:rsid w:val="00B52BE0"/>
    <w:tblPr>
      <w:tblInd w:w="-680" w:type="dxa"/>
      <w:tblCellMar>
        <w:left w:w="0" w:type="dxa"/>
        <w:right w:w="0" w:type="dxa"/>
      </w:tblCellMar>
    </w:tblPr>
    <w:tcPr>
      <w:vAlign w:val="bottom"/>
    </w:tcPr>
    <w:tblStylePr w:type="firstRow">
      <w:tblPr/>
      <w:tcPr>
        <w:tcBorders>
          <w:top w:val="nil"/>
          <w:left w:val="nil"/>
          <w:bottom w:val="single" w:sz="6" w:space="0" w:color="949494" w:themeColor="text2" w:themeShade="BF"/>
          <w:right w:val="nil"/>
          <w:insideH w:val="nil"/>
          <w:insideV w:val="nil"/>
          <w:tl2br w:val="nil"/>
          <w:tr2bl w:val="nil"/>
        </w:tcBorders>
      </w:tcPr>
    </w:tblStylePr>
    <w:tblStylePr w:type="lastRow">
      <w:pPr>
        <w:jc w:val="right"/>
      </w:pPr>
      <w:tblPr/>
      <w:tcPr>
        <w:tcBorders>
          <w:top w:val="single" w:sz="6" w:space="0" w:color="949494" w:themeColor="text2" w:themeShade="BF"/>
          <w:left w:val="nil"/>
          <w:bottom w:val="nil"/>
          <w:right w:val="nil"/>
          <w:insideH w:val="nil"/>
          <w:insideV w:val="nil"/>
          <w:tl2br w:val="nil"/>
          <w:tr2bl w:val="nil"/>
        </w:tcBorders>
      </w:tcPr>
    </w:tblStylePr>
  </w:style>
  <w:style w:type="paragraph" w:customStyle="1" w:styleId="JuList">
    <w:name w:val="Ju_List"/>
    <w:basedOn w:val="Normal"/>
    <w:uiPriority w:val="28"/>
    <w:qFormat/>
    <w:rsid w:val="00062EE3"/>
    <w:pPr>
      <w:ind w:left="340" w:hanging="340"/>
    </w:pPr>
  </w:style>
  <w:style w:type="paragraph" w:customStyle="1" w:styleId="JuSigned">
    <w:name w:val="Ju_Signed"/>
    <w:basedOn w:val="Normal"/>
    <w:next w:val="JuParaLast"/>
    <w:uiPriority w:val="32"/>
    <w:qFormat/>
    <w:rsid w:val="00062EE3"/>
    <w:pPr>
      <w:tabs>
        <w:tab w:val="center" w:pos="851"/>
        <w:tab w:val="center" w:pos="6407"/>
      </w:tabs>
      <w:spacing w:before="720"/>
      <w:jc w:val="left"/>
    </w:pPr>
  </w:style>
  <w:style w:type="paragraph" w:customStyle="1" w:styleId="JuParaLast">
    <w:name w:val="Ju_Para_Last"/>
    <w:basedOn w:val="Normal"/>
    <w:next w:val="ECHRPara"/>
    <w:uiPriority w:val="30"/>
    <w:qFormat/>
    <w:rsid w:val="00062EE3"/>
    <w:pPr>
      <w:keepNext/>
      <w:keepLines/>
      <w:spacing w:before="240"/>
      <w:ind w:firstLine="284"/>
    </w:pPr>
  </w:style>
  <w:style w:type="paragraph" w:customStyle="1" w:styleId="JuQuotSub">
    <w:name w:val="Ju_Quot_Sub"/>
    <w:basedOn w:val="ECHRParaQuote"/>
    <w:uiPriority w:val="15"/>
    <w:qFormat/>
    <w:rsid w:val="00062EE3"/>
    <w:pPr>
      <w:ind w:left="567"/>
    </w:pPr>
  </w:style>
  <w:style w:type="character" w:styleId="PageNumber">
    <w:name w:val="page number"/>
    <w:uiPriority w:val="99"/>
    <w:semiHidden/>
    <w:rsid w:val="00014566"/>
    <w:rPr>
      <w:sz w:val="18"/>
    </w:rPr>
  </w:style>
  <w:style w:type="paragraph" w:customStyle="1" w:styleId="JuLista">
    <w:name w:val="Ju_List_a"/>
    <w:basedOn w:val="JuList"/>
    <w:uiPriority w:val="28"/>
    <w:qFormat/>
    <w:rsid w:val="00062EE3"/>
    <w:pPr>
      <w:ind w:left="346" w:firstLine="0"/>
    </w:pPr>
  </w:style>
  <w:style w:type="paragraph" w:customStyle="1" w:styleId="JuTitle">
    <w:name w:val="Ju_Title"/>
    <w:basedOn w:val="Normal"/>
    <w:next w:val="ECHRPara"/>
    <w:uiPriority w:val="3"/>
    <w:semiHidden/>
    <w:qFormat/>
    <w:rsid w:val="00062EE3"/>
    <w:pPr>
      <w:spacing w:before="720" w:after="240"/>
      <w:jc w:val="center"/>
      <w:outlineLvl w:val="0"/>
    </w:pPr>
    <w:rPr>
      <w:rFonts w:asciiTheme="majorHAnsi" w:hAnsiTheme="majorHAnsi"/>
      <w:b/>
      <w:caps/>
    </w:rPr>
  </w:style>
  <w:style w:type="character" w:styleId="CommentReference">
    <w:name w:val="annotation reference"/>
    <w:uiPriority w:val="99"/>
    <w:semiHidden/>
    <w:rsid w:val="00014566"/>
    <w:rPr>
      <w:sz w:val="16"/>
    </w:rPr>
  </w:style>
  <w:style w:type="paragraph" w:styleId="CommentText">
    <w:name w:val="annotation text"/>
    <w:basedOn w:val="Normal"/>
    <w:link w:val="CommentTextChar"/>
    <w:uiPriority w:val="99"/>
    <w:semiHidden/>
    <w:rsid w:val="00014566"/>
    <w:rPr>
      <w:sz w:val="20"/>
    </w:rPr>
  </w:style>
  <w:style w:type="character" w:customStyle="1" w:styleId="CommentTextChar">
    <w:name w:val="Comment Text Char"/>
    <w:basedOn w:val="DefaultParagraphFont"/>
    <w:link w:val="CommentText"/>
    <w:uiPriority w:val="99"/>
    <w:semiHidden/>
    <w:rsid w:val="00014566"/>
    <w:rPr>
      <w:rFonts w:eastAsiaTheme="minorEastAsia"/>
      <w:sz w:val="20"/>
    </w:rPr>
  </w:style>
  <w:style w:type="paragraph" w:styleId="CommentSubject">
    <w:name w:val="annotation subject"/>
    <w:basedOn w:val="CommentText"/>
    <w:next w:val="CommentText"/>
    <w:link w:val="CommentSubjectChar"/>
    <w:uiPriority w:val="99"/>
    <w:semiHidden/>
    <w:rsid w:val="00014566"/>
    <w:rPr>
      <w:b/>
      <w:bCs/>
    </w:rPr>
  </w:style>
  <w:style w:type="character" w:customStyle="1" w:styleId="CommentSubjectChar">
    <w:name w:val="Comment Subject Char"/>
    <w:basedOn w:val="CommentTextChar"/>
    <w:link w:val="CommentSubject"/>
    <w:uiPriority w:val="99"/>
    <w:semiHidden/>
    <w:rsid w:val="00014566"/>
    <w:rPr>
      <w:rFonts w:eastAsiaTheme="minorEastAsia"/>
      <w:b/>
      <w:bCs/>
      <w:sz w:val="20"/>
    </w:rPr>
  </w:style>
  <w:style w:type="character" w:styleId="EndnoteReference">
    <w:name w:val="endnote reference"/>
    <w:basedOn w:val="DefaultParagraphFont"/>
    <w:uiPriority w:val="99"/>
    <w:semiHidden/>
    <w:rsid w:val="00062EE3"/>
    <w:rPr>
      <w:vertAlign w:val="superscript"/>
    </w:rPr>
  </w:style>
  <w:style w:type="paragraph" w:styleId="EndnoteText">
    <w:name w:val="endnote text"/>
    <w:basedOn w:val="Normal"/>
    <w:link w:val="EndnoteTextChar"/>
    <w:uiPriority w:val="99"/>
    <w:semiHidden/>
    <w:rsid w:val="00062EE3"/>
    <w:rPr>
      <w:sz w:val="20"/>
      <w:szCs w:val="20"/>
    </w:rPr>
  </w:style>
  <w:style w:type="character" w:customStyle="1" w:styleId="EndnoteTextChar">
    <w:name w:val="Endnote Text Char"/>
    <w:basedOn w:val="DefaultParagraphFont"/>
    <w:link w:val="EndnoteText"/>
    <w:uiPriority w:val="99"/>
    <w:semiHidden/>
    <w:rsid w:val="00062EE3"/>
    <w:rPr>
      <w:rFonts w:eastAsiaTheme="minorEastAsia"/>
      <w:sz w:val="20"/>
      <w:szCs w:val="20"/>
      <w:lang w:val="en-GB"/>
    </w:rPr>
  </w:style>
  <w:style w:type="character" w:styleId="FollowedHyperlink">
    <w:name w:val="FollowedHyperlink"/>
    <w:uiPriority w:val="99"/>
    <w:semiHidden/>
    <w:rsid w:val="00014566"/>
    <w:rPr>
      <w:color w:val="800080"/>
      <w:u w:val="single"/>
    </w:rPr>
  </w:style>
  <w:style w:type="paragraph" w:styleId="DocumentMap">
    <w:name w:val="Document Map"/>
    <w:basedOn w:val="Normal"/>
    <w:link w:val="DocumentMapChar"/>
    <w:uiPriority w:val="99"/>
    <w:semiHidden/>
    <w:rsid w:val="00014566"/>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semiHidden/>
    <w:rsid w:val="00014566"/>
    <w:rPr>
      <w:rFonts w:ascii="Tahoma" w:eastAsiaTheme="minorEastAsia" w:hAnsi="Tahoma" w:cs="Tahoma"/>
      <w:sz w:val="20"/>
      <w:shd w:val="clear" w:color="auto" w:fill="000080"/>
    </w:rPr>
  </w:style>
  <w:style w:type="paragraph" w:customStyle="1" w:styleId="OpiH1">
    <w:name w:val="Opi_H_1"/>
    <w:basedOn w:val="ECHRHeading2"/>
    <w:uiPriority w:val="42"/>
    <w:qFormat/>
    <w:rsid w:val="00062EE3"/>
    <w:pPr>
      <w:ind w:left="635" w:hanging="357"/>
      <w:outlineLvl w:val="2"/>
    </w:pPr>
  </w:style>
  <w:style w:type="paragraph" w:styleId="ListBullet">
    <w:name w:val="List Bullet"/>
    <w:basedOn w:val="Normal"/>
    <w:uiPriority w:val="99"/>
    <w:semiHidden/>
    <w:rsid w:val="00014566"/>
    <w:pPr>
      <w:numPr>
        <w:numId w:val="1"/>
      </w:numPr>
    </w:pPr>
  </w:style>
  <w:style w:type="paragraph" w:customStyle="1" w:styleId="OpiHa">
    <w:name w:val="Opi_H_a"/>
    <w:basedOn w:val="ECHRHeading3"/>
    <w:uiPriority w:val="43"/>
    <w:qFormat/>
    <w:rsid w:val="00062EE3"/>
    <w:pPr>
      <w:ind w:left="833" w:hanging="357"/>
      <w:outlineLvl w:val="3"/>
    </w:pPr>
    <w:rPr>
      <w:b/>
      <w:i w:val="0"/>
      <w:sz w:val="20"/>
    </w:rPr>
  </w:style>
  <w:style w:type="paragraph" w:styleId="Subtitle">
    <w:name w:val="Subtitle"/>
    <w:basedOn w:val="Normal"/>
    <w:next w:val="Normal"/>
    <w:link w:val="SubtitleChar"/>
    <w:uiPriority w:val="99"/>
    <w:semiHidden/>
    <w:qFormat/>
    <w:rsid w:val="00062EE3"/>
    <w:pPr>
      <w:spacing w:after="600"/>
    </w:pPr>
    <w:rPr>
      <w:rFonts w:asciiTheme="majorHAnsi" w:eastAsiaTheme="majorEastAsia" w:hAnsiTheme="majorHAnsi" w:cstheme="majorBidi"/>
      <w:i/>
      <w:iCs/>
      <w:spacing w:val="13"/>
      <w:szCs w:val="24"/>
      <w:lang w:val="en-US" w:bidi="en-US"/>
    </w:rPr>
  </w:style>
  <w:style w:type="character" w:customStyle="1" w:styleId="SubtitleChar">
    <w:name w:val="Subtitle Char"/>
    <w:basedOn w:val="DefaultParagraphFont"/>
    <w:link w:val="Subtitle"/>
    <w:uiPriority w:val="99"/>
    <w:semiHidden/>
    <w:rsid w:val="00062EE3"/>
    <w:rPr>
      <w:rFonts w:asciiTheme="majorHAnsi" w:eastAsiaTheme="majorEastAsia" w:hAnsiTheme="majorHAnsi" w:cstheme="majorBidi"/>
      <w:i/>
      <w:iCs/>
      <w:spacing w:val="13"/>
      <w:sz w:val="24"/>
      <w:szCs w:val="24"/>
      <w:lang w:bidi="en-US"/>
    </w:rPr>
  </w:style>
  <w:style w:type="numbering" w:styleId="111111">
    <w:name w:val="Outline List 2"/>
    <w:basedOn w:val="NoList"/>
    <w:uiPriority w:val="99"/>
    <w:semiHidden/>
    <w:rsid w:val="00014566"/>
    <w:pPr>
      <w:numPr>
        <w:numId w:val="2"/>
      </w:numPr>
    </w:pPr>
  </w:style>
  <w:style w:type="numbering" w:styleId="1ai">
    <w:name w:val="Outline List 1"/>
    <w:basedOn w:val="NoList"/>
    <w:uiPriority w:val="99"/>
    <w:semiHidden/>
    <w:rsid w:val="00014566"/>
    <w:pPr>
      <w:numPr>
        <w:numId w:val="3"/>
      </w:numPr>
    </w:pPr>
  </w:style>
  <w:style w:type="numbering" w:styleId="ArticleSection">
    <w:name w:val="Outline List 3"/>
    <w:basedOn w:val="NoList"/>
    <w:uiPriority w:val="99"/>
    <w:semiHidden/>
    <w:rsid w:val="00014566"/>
    <w:pPr>
      <w:numPr>
        <w:numId w:val="4"/>
      </w:numPr>
    </w:pPr>
  </w:style>
  <w:style w:type="paragraph" w:styleId="Bibliography">
    <w:name w:val="Bibliography"/>
    <w:basedOn w:val="Normal"/>
    <w:next w:val="Normal"/>
    <w:uiPriority w:val="99"/>
    <w:semiHidden/>
    <w:unhideWhenUsed/>
    <w:rsid w:val="00014566"/>
  </w:style>
  <w:style w:type="paragraph" w:styleId="BlockText">
    <w:name w:val="Block Text"/>
    <w:basedOn w:val="Normal"/>
    <w:uiPriority w:val="99"/>
    <w:semiHidden/>
    <w:rsid w:val="00014566"/>
    <w:pPr>
      <w:pBdr>
        <w:top w:val="single" w:sz="2" w:space="10" w:color="0072BC" w:themeColor="accent1" w:shadow="1" w:frame="1"/>
        <w:left w:val="single" w:sz="2" w:space="10" w:color="0072BC" w:themeColor="accent1" w:shadow="1" w:frame="1"/>
        <w:bottom w:val="single" w:sz="2" w:space="10" w:color="0072BC" w:themeColor="accent1" w:shadow="1" w:frame="1"/>
        <w:right w:val="single" w:sz="2" w:space="10" w:color="0072BC" w:themeColor="accent1" w:shadow="1" w:frame="1"/>
      </w:pBdr>
      <w:ind w:left="1152" w:right="1152"/>
    </w:pPr>
    <w:rPr>
      <w:i/>
      <w:iCs/>
      <w:color w:val="0072BC" w:themeColor="accent1"/>
    </w:rPr>
  </w:style>
  <w:style w:type="paragraph" w:styleId="BodyText">
    <w:name w:val="Body Text"/>
    <w:basedOn w:val="Normal"/>
    <w:link w:val="BodyTextChar"/>
    <w:uiPriority w:val="99"/>
    <w:semiHidden/>
    <w:rsid w:val="00014566"/>
    <w:pPr>
      <w:spacing w:after="120"/>
    </w:pPr>
  </w:style>
  <w:style w:type="character" w:customStyle="1" w:styleId="BodyTextChar">
    <w:name w:val="Body Text Char"/>
    <w:basedOn w:val="DefaultParagraphFont"/>
    <w:link w:val="BodyText"/>
    <w:uiPriority w:val="99"/>
    <w:semiHidden/>
    <w:rsid w:val="00014566"/>
    <w:rPr>
      <w:rFonts w:eastAsiaTheme="minorEastAsia"/>
      <w:sz w:val="24"/>
    </w:rPr>
  </w:style>
  <w:style w:type="paragraph" w:styleId="BodyText2">
    <w:name w:val="Body Text 2"/>
    <w:basedOn w:val="Normal"/>
    <w:link w:val="BodyText2Char"/>
    <w:uiPriority w:val="99"/>
    <w:semiHidden/>
    <w:rsid w:val="00014566"/>
    <w:pPr>
      <w:spacing w:after="120" w:line="480" w:lineRule="auto"/>
    </w:pPr>
  </w:style>
  <w:style w:type="character" w:customStyle="1" w:styleId="BodyText2Char">
    <w:name w:val="Body Text 2 Char"/>
    <w:basedOn w:val="DefaultParagraphFont"/>
    <w:link w:val="BodyText2"/>
    <w:uiPriority w:val="99"/>
    <w:semiHidden/>
    <w:rsid w:val="00014566"/>
    <w:rPr>
      <w:rFonts w:eastAsiaTheme="minorEastAsia"/>
      <w:sz w:val="24"/>
    </w:rPr>
  </w:style>
  <w:style w:type="paragraph" w:styleId="BodyText3">
    <w:name w:val="Body Text 3"/>
    <w:basedOn w:val="Normal"/>
    <w:link w:val="BodyText3Char"/>
    <w:uiPriority w:val="99"/>
    <w:semiHidden/>
    <w:rsid w:val="00014566"/>
    <w:pPr>
      <w:spacing w:after="120"/>
    </w:pPr>
    <w:rPr>
      <w:sz w:val="16"/>
      <w:szCs w:val="16"/>
    </w:rPr>
  </w:style>
  <w:style w:type="character" w:customStyle="1" w:styleId="BodyText3Char">
    <w:name w:val="Body Text 3 Char"/>
    <w:basedOn w:val="DefaultParagraphFont"/>
    <w:link w:val="BodyText3"/>
    <w:uiPriority w:val="99"/>
    <w:semiHidden/>
    <w:rsid w:val="00014566"/>
    <w:rPr>
      <w:rFonts w:eastAsiaTheme="minorEastAsia"/>
      <w:sz w:val="16"/>
      <w:szCs w:val="16"/>
    </w:rPr>
  </w:style>
  <w:style w:type="paragraph" w:styleId="BodyTextFirstIndent">
    <w:name w:val="Body Text First Indent"/>
    <w:basedOn w:val="BodyText"/>
    <w:link w:val="BodyTextFirstIndentChar"/>
    <w:uiPriority w:val="99"/>
    <w:semiHidden/>
    <w:rsid w:val="00014566"/>
    <w:pPr>
      <w:spacing w:after="0"/>
      <w:ind w:firstLine="360"/>
    </w:pPr>
  </w:style>
  <w:style w:type="character" w:customStyle="1" w:styleId="BodyTextFirstIndentChar">
    <w:name w:val="Body Text First Indent Char"/>
    <w:basedOn w:val="BodyTextChar"/>
    <w:link w:val="BodyTextFirstIndent"/>
    <w:uiPriority w:val="99"/>
    <w:semiHidden/>
    <w:rsid w:val="00014566"/>
    <w:rPr>
      <w:rFonts w:eastAsiaTheme="minorEastAsia"/>
      <w:sz w:val="24"/>
    </w:rPr>
  </w:style>
  <w:style w:type="paragraph" w:styleId="BodyTextIndent">
    <w:name w:val="Body Text Indent"/>
    <w:basedOn w:val="Normal"/>
    <w:link w:val="BodyTextIndentChar"/>
    <w:uiPriority w:val="99"/>
    <w:semiHidden/>
    <w:rsid w:val="00014566"/>
    <w:pPr>
      <w:spacing w:after="120"/>
      <w:ind w:left="283"/>
    </w:pPr>
  </w:style>
  <w:style w:type="character" w:customStyle="1" w:styleId="BodyTextIndentChar">
    <w:name w:val="Body Text Indent Char"/>
    <w:basedOn w:val="DefaultParagraphFont"/>
    <w:link w:val="BodyTextIndent"/>
    <w:uiPriority w:val="99"/>
    <w:semiHidden/>
    <w:rsid w:val="00014566"/>
    <w:rPr>
      <w:rFonts w:eastAsiaTheme="minorEastAsia"/>
      <w:sz w:val="24"/>
    </w:rPr>
  </w:style>
  <w:style w:type="paragraph" w:styleId="BodyTextFirstIndent2">
    <w:name w:val="Body Text First Indent 2"/>
    <w:basedOn w:val="BodyTextIndent"/>
    <w:link w:val="BodyTextFirstIndent2Char"/>
    <w:uiPriority w:val="99"/>
    <w:semiHidden/>
    <w:rsid w:val="00014566"/>
    <w:pPr>
      <w:spacing w:after="0"/>
      <w:ind w:left="360" w:firstLine="360"/>
    </w:pPr>
  </w:style>
  <w:style w:type="character" w:customStyle="1" w:styleId="BodyTextFirstIndent2Char">
    <w:name w:val="Body Text First Indent 2 Char"/>
    <w:basedOn w:val="BodyTextIndentChar"/>
    <w:link w:val="BodyTextFirstIndent2"/>
    <w:uiPriority w:val="99"/>
    <w:semiHidden/>
    <w:rsid w:val="00014566"/>
    <w:rPr>
      <w:rFonts w:eastAsiaTheme="minorEastAsia"/>
      <w:sz w:val="24"/>
    </w:rPr>
  </w:style>
  <w:style w:type="paragraph" w:styleId="BodyTextIndent2">
    <w:name w:val="Body Text Indent 2"/>
    <w:basedOn w:val="Normal"/>
    <w:link w:val="BodyTextIndent2Char"/>
    <w:uiPriority w:val="99"/>
    <w:semiHidden/>
    <w:rsid w:val="00014566"/>
    <w:pPr>
      <w:spacing w:after="120" w:line="480" w:lineRule="auto"/>
      <w:ind w:left="283"/>
    </w:pPr>
  </w:style>
  <w:style w:type="character" w:customStyle="1" w:styleId="BodyTextIndent2Char">
    <w:name w:val="Body Text Indent 2 Char"/>
    <w:basedOn w:val="DefaultParagraphFont"/>
    <w:link w:val="BodyTextIndent2"/>
    <w:uiPriority w:val="99"/>
    <w:semiHidden/>
    <w:rsid w:val="00014566"/>
    <w:rPr>
      <w:rFonts w:eastAsiaTheme="minorEastAsia"/>
      <w:sz w:val="24"/>
    </w:rPr>
  </w:style>
  <w:style w:type="paragraph" w:styleId="BodyTextIndent3">
    <w:name w:val="Body Text Indent 3"/>
    <w:basedOn w:val="Normal"/>
    <w:link w:val="BodyTextIndent3Char"/>
    <w:uiPriority w:val="99"/>
    <w:semiHidden/>
    <w:rsid w:val="0001456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14566"/>
    <w:rPr>
      <w:rFonts w:eastAsiaTheme="minorEastAsia"/>
      <w:sz w:val="16"/>
      <w:szCs w:val="16"/>
    </w:rPr>
  </w:style>
  <w:style w:type="paragraph" w:styleId="Caption">
    <w:name w:val="caption"/>
    <w:basedOn w:val="Normal"/>
    <w:next w:val="Normal"/>
    <w:uiPriority w:val="99"/>
    <w:semiHidden/>
    <w:qFormat/>
    <w:rsid w:val="00014566"/>
    <w:pPr>
      <w:spacing w:after="200"/>
    </w:pPr>
    <w:rPr>
      <w:b/>
      <w:bCs/>
      <w:color w:val="0072BC" w:themeColor="accent1"/>
      <w:sz w:val="18"/>
      <w:szCs w:val="18"/>
    </w:rPr>
  </w:style>
  <w:style w:type="paragraph" w:styleId="Closing">
    <w:name w:val="Closing"/>
    <w:basedOn w:val="Normal"/>
    <w:link w:val="ClosingChar"/>
    <w:uiPriority w:val="99"/>
    <w:semiHidden/>
    <w:rsid w:val="00014566"/>
    <w:pPr>
      <w:ind w:left="4252"/>
    </w:pPr>
  </w:style>
  <w:style w:type="character" w:customStyle="1" w:styleId="ClosingChar">
    <w:name w:val="Closing Char"/>
    <w:basedOn w:val="DefaultParagraphFont"/>
    <w:link w:val="Closing"/>
    <w:uiPriority w:val="99"/>
    <w:semiHidden/>
    <w:rsid w:val="00014566"/>
    <w:rPr>
      <w:rFonts w:eastAsiaTheme="minorEastAsia"/>
      <w:sz w:val="24"/>
    </w:rPr>
  </w:style>
  <w:style w:type="table" w:styleId="ColorfulGrid">
    <w:name w:val="Colorful Grid"/>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0072BC" w:themeColor="background1"/>
      </w:rPr>
      <w:tblPr/>
      <w:tcPr>
        <w:shd w:val="clear" w:color="auto" w:fill="000000" w:themeFill="text1" w:themeFillShade="BF"/>
      </w:tcPr>
    </w:tblStylePr>
    <w:tblStylePr w:type="lastCol">
      <w:rPr>
        <w:color w:val="0072BC"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BEE5FF" w:themeFill="accent1" w:themeFillTint="33"/>
    </w:tcPr>
    <w:tblStylePr w:type="firstRow">
      <w:rPr>
        <w:b/>
        <w:bCs/>
      </w:rPr>
      <w:tblPr/>
      <w:tcPr>
        <w:shd w:val="clear" w:color="auto" w:fill="7ECBFF" w:themeFill="accent1" w:themeFillTint="66"/>
      </w:tcPr>
    </w:tblStylePr>
    <w:tblStylePr w:type="lastRow">
      <w:rPr>
        <w:b/>
        <w:bCs/>
        <w:color w:val="000000" w:themeColor="text1"/>
      </w:rPr>
      <w:tblPr/>
      <w:tcPr>
        <w:shd w:val="clear" w:color="auto" w:fill="7ECBFF" w:themeFill="accent1" w:themeFillTint="66"/>
      </w:tcPr>
    </w:tblStylePr>
    <w:tblStylePr w:type="firstCol">
      <w:rPr>
        <w:color w:val="0072BC" w:themeColor="background1"/>
      </w:rPr>
      <w:tblPr/>
      <w:tcPr>
        <w:shd w:val="clear" w:color="auto" w:fill="00548C" w:themeFill="accent1" w:themeFillShade="BF"/>
      </w:tcPr>
    </w:tblStylePr>
    <w:tblStylePr w:type="lastCol">
      <w:rPr>
        <w:color w:val="0072BC" w:themeColor="background1"/>
      </w:rPr>
      <w:tblPr/>
      <w:tcPr>
        <w:shd w:val="clear" w:color="auto" w:fill="00548C" w:themeFill="accent1" w:themeFillShade="BF"/>
      </w:tc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ColorfulGrid-Accent2">
    <w:name w:val="Colorful Grid Accent 2"/>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FFBFBF" w:themeFill="accent2" w:themeFillTint="33"/>
    </w:tcPr>
    <w:tblStylePr w:type="firstRow">
      <w:rPr>
        <w:b/>
        <w:bCs/>
      </w:rPr>
      <w:tblPr/>
      <w:tcPr>
        <w:shd w:val="clear" w:color="auto" w:fill="FF7F7F" w:themeFill="accent2" w:themeFillTint="66"/>
      </w:tcPr>
    </w:tblStylePr>
    <w:tblStylePr w:type="lastRow">
      <w:rPr>
        <w:b/>
        <w:bCs/>
        <w:color w:val="000000" w:themeColor="text1"/>
      </w:rPr>
      <w:tblPr/>
      <w:tcPr>
        <w:shd w:val="clear" w:color="auto" w:fill="FF7F7F" w:themeFill="accent2" w:themeFillTint="66"/>
      </w:tcPr>
    </w:tblStylePr>
    <w:tblStylePr w:type="firstCol">
      <w:rPr>
        <w:color w:val="0072BC" w:themeColor="background1"/>
      </w:rPr>
      <w:tblPr/>
      <w:tcPr>
        <w:shd w:val="clear" w:color="auto" w:fill="8F0000" w:themeFill="accent2" w:themeFillShade="BF"/>
      </w:tcPr>
    </w:tblStylePr>
    <w:tblStylePr w:type="lastCol">
      <w:rPr>
        <w:color w:val="0072BC" w:themeColor="background1"/>
      </w:rPr>
      <w:tblPr/>
      <w:tcPr>
        <w:shd w:val="clear" w:color="auto" w:fill="8F0000" w:themeFill="accent2" w:themeFillShade="BF"/>
      </w:tc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ColorfulGrid-Accent3">
    <w:name w:val="Colorful Grid Accent 3"/>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3" w:themeFillTint="33"/>
    </w:tcPr>
    <w:tblStylePr w:type="firstRow">
      <w:rPr>
        <w:b/>
        <w:bCs/>
      </w:rPr>
      <w:tblPr/>
      <w:tcPr>
        <w:shd w:val="clear" w:color="auto" w:fill="BFBFBF" w:themeFill="accent3" w:themeFillTint="66"/>
      </w:tcPr>
    </w:tblStylePr>
    <w:tblStylePr w:type="lastRow">
      <w:rPr>
        <w:b/>
        <w:bCs/>
        <w:color w:val="000000" w:themeColor="text1"/>
      </w:rPr>
      <w:tblPr/>
      <w:tcPr>
        <w:shd w:val="clear" w:color="auto" w:fill="BFBFBF" w:themeFill="accent3" w:themeFillTint="66"/>
      </w:tcPr>
    </w:tblStylePr>
    <w:tblStylePr w:type="firstCol">
      <w:rPr>
        <w:color w:val="0072BC" w:themeColor="background1"/>
      </w:rPr>
      <w:tblPr/>
      <w:tcPr>
        <w:shd w:val="clear" w:color="auto" w:fill="474747" w:themeFill="accent3" w:themeFillShade="BF"/>
      </w:tcPr>
    </w:tblStylePr>
    <w:tblStylePr w:type="lastCol">
      <w:rPr>
        <w:color w:val="0072BC" w:themeColor="background1"/>
      </w:rPr>
      <w:tblPr/>
      <w:tcPr>
        <w:shd w:val="clear" w:color="auto" w:fill="474747" w:themeFill="accent3" w:themeFillShade="BF"/>
      </w:tc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ColorfulGrid-Accent4">
    <w:name w:val="Colorful Grid Accent 4"/>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EAEAEA" w:themeFill="accent4" w:themeFillTint="33"/>
    </w:tcPr>
    <w:tblStylePr w:type="firstRow">
      <w:rPr>
        <w:b/>
        <w:bCs/>
      </w:rPr>
      <w:tblPr/>
      <w:tcPr>
        <w:shd w:val="clear" w:color="auto" w:fill="D5D5D5" w:themeFill="accent4" w:themeFillTint="66"/>
      </w:tcPr>
    </w:tblStylePr>
    <w:tblStylePr w:type="lastRow">
      <w:rPr>
        <w:b/>
        <w:bCs/>
        <w:color w:val="000000" w:themeColor="text1"/>
      </w:rPr>
      <w:tblPr/>
      <w:tcPr>
        <w:shd w:val="clear" w:color="auto" w:fill="D5D5D5" w:themeFill="accent4" w:themeFillTint="66"/>
      </w:tcPr>
    </w:tblStylePr>
    <w:tblStylePr w:type="firstCol">
      <w:rPr>
        <w:color w:val="0072BC" w:themeColor="background1"/>
      </w:rPr>
      <w:tblPr/>
      <w:tcPr>
        <w:shd w:val="clear" w:color="auto" w:fill="707070" w:themeFill="accent4" w:themeFillShade="BF"/>
      </w:tcPr>
    </w:tblStylePr>
    <w:tblStylePr w:type="lastCol">
      <w:rPr>
        <w:color w:val="0072BC" w:themeColor="background1"/>
      </w:rPr>
      <w:tblPr/>
      <w:tcPr>
        <w:shd w:val="clear" w:color="auto" w:fill="707070" w:themeFill="accent4" w:themeFillShade="BF"/>
      </w:tc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ColorfulGrid-Accent5">
    <w:name w:val="Colorful Grid Accent 5"/>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0072BC" w:themeColor="background1"/>
      </w:rPr>
      <w:tblPr/>
      <w:tcPr>
        <w:shd w:val="clear" w:color="auto" w:fill="474747" w:themeFill="accent5" w:themeFillShade="BF"/>
      </w:tcPr>
    </w:tblStylePr>
    <w:tblStylePr w:type="lastCol">
      <w:rPr>
        <w:color w:val="0072BC"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9"/>
    <w:semiHidden/>
    <w:rsid w:val="00014566"/>
    <w:rPr>
      <w:color w:val="000000" w:themeColor="text1"/>
      <w:lang w:val="fr-FR" w:eastAsia="fr-FR"/>
    </w:rPr>
    <w:tblPr>
      <w:tblStyleRowBandSize w:val="1"/>
      <w:tblStyleColBandSize w:val="1"/>
      <w:tblBorders>
        <w:insideH w:val="single" w:sz="4" w:space="0" w:color="0072BC"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0072BC" w:themeColor="background1"/>
      </w:rPr>
      <w:tblPr/>
      <w:tcPr>
        <w:shd w:val="clear" w:color="auto" w:fill="393939" w:themeFill="accent6" w:themeFillShade="BF"/>
      </w:tcPr>
    </w:tblStylePr>
    <w:tblStylePr w:type="lastCol">
      <w:rPr>
        <w:color w:val="0072BC"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9"/>
    <w:semiHidden/>
    <w:rsid w:val="00014566"/>
    <w:rPr>
      <w:color w:val="000000" w:themeColor="text1"/>
      <w:lang w:val="fr-FR" w:eastAsia="fr-FR"/>
    </w:rPr>
    <w:tblPr>
      <w:tblStyleRowBandSize w:val="1"/>
      <w:tblStyleColBandSize w:val="1"/>
    </w:tblPr>
    <w:tcPr>
      <w:shd w:val="clear" w:color="auto" w:fill="E6E6E6" w:themeFill="tex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rsid w:val="00014566"/>
    <w:rPr>
      <w:color w:val="000000" w:themeColor="text1"/>
      <w:lang w:val="fr-FR" w:eastAsia="fr-FR"/>
    </w:rPr>
    <w:tblPr>
      <w:tblStyleRowBandSize w:val="1"/>
      <w:tblStyleColBandSize w:val="1"/>
    </w:tblPr>
    <w:tcPr>
      <w:shd w:val="clear" w:color="auto" w:fill="DFF2FF" w:themeFill="accent1"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FDFFF" w:themeFill="accent1" w:themeFillTint="3F"/>
      </w:tcPr>
    </w:tblStylePr>
    <w:tblStylePr w:type="band1Horz">
      <w:tblPr/>
      <w:tcPr>
        <w:shd w:val="clear" w:color="auto" w:fill="BEE5FF" w:themeFill="accent1" w:themeFillTint="33"/>
      </w:tcPr>
    </w:tblStylePr>
  </w:style>
  <w:style w:type="table" w:styleId="ColorfulList-Accent2">
    <w:name w:val="Colorful List Accent 2"/>
    <w:basedOn w:val="TableNormal"/>
    <w:uiPriority w:val="99"/>
    <w:semiHidden/>
    <w:rsid w:val="00014566"/>
    <w:rPr>
      <w:color w:val="000000" w:themeColor="text1"/>
      <w:lang w:val="fr-FR" w:eastAsia="fr-FR"/>
    </w:rPr>
    <w:tblPr>
      <w:tblStyleRowBandSize w:val="1"/>
      <w:tblStyleColBandSize w:val="1"/>
    </w:tblPr>
    <w:tcPr>
      <w:shd w:val="clear" w:color="auto" w:fill="FFDFDF" w:themeFill="accent2" w:themeFillTint="19"/>
    </w:tcPr>
    <w:tblStylePr w:type="firstRow">
      <w:rPr>
        <w:b/>
        <w:bCs/>
        <w:color w:val="0072BC" w:themeColor="background1"/>
      </w:rPr>
      <w:tblPr/>
      <w:tcPr>
        <w:tcBorders>
          <w:bottom w:val="single" w:sz="12" w:space="0" w:color="0072BC" w:themeColor="background1"/>
        </w:tcBorders>
        <w:shd w:val="clear" w:color="auto" w:fill="990000" w:themeFill="accent2" w:themeFillShade="CC"/>
      </w:tcPr>
    </w:tblStylePr>
    <w:tblStylePr w:type="lastRow">
      <w:rPr>
        <w:b/>
        <w:bCs/>
        <w:color w:val="990000" w:themeColor="accent2"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B0B0" w:themeFill="accent2" w:themeFillTint="3F"/>
      </w:tcPr>
    </w:tblStylePr>
    <w:tblStylePr w:type="band1Horz">
      <w:tblPr/>
      <w:tcPr>
        <w:shd w:val="clear" w:color="auto" w:fill="FFBFBF" w:themeFill="accent2" w:themeFillTint="33"/>
      </w:tcPr>
    </w:tblStylePr>
  </w:style>
  <w:style w:type="table" w:styleId="ColorfulList-Accent3">
    <w:name w:val="Colorful List Accent 3"/>
    <w:basedOn w:val="TableNormal"/>
    <w:uiPriority w:val="99"/>
    <w:semiHidden/>
    <w:rsid w:val="00014566"/>
    <w:rPr>
      <w:color w:val="000000" w:themeColor="text1"/>
      <w:lang w:val="fr-FR" w:eastAsia="fr-FR"/>
    </w:rPr>
    <w:tblPr>
      <w:tblStyleRowBandSize w:val="1"/>
      <w:tblStyleColBandSize w:val="1"/>
    </w:tblPr>
    <w:tcPr>
      <w:shd w:val="clear" w:color="auto" w:fill="EFEFEF" w:themeFill="accent3" w:themeFillTint="19"/>
    </w:tcPr>
    <w:tblStylePr w:type="firstRow">
      <w:rPr>
        <w:b/>
        <w:bCs/>
        <w:color w:val="0072BC" w:themeColor="background1"/>
      </w:rPr>
      <w:tblPr/>
      <w:tcPr>
        <w:tcBorders>
          <w:bottom w:val="single" w:sz="12" w:space="0" w:color="0072BC" w:themeColor="background1"/>
        </w:tcBorders>
        <w:shd w:val="clear" w:color="auto" w:fill="787878" w:themeFill="accent4" w:themeFillShade="CC"/>
      </w:tcPr>
    </w:tblStylePr>
    <w:tblStylePr w:type="lastRow">
      <w:rPr>
        <w:b/>
        <w:bCs/>
        <w:color w:val="787878" w:themeColor="accent4"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3" w:themeFillTint="3F"/>
      </w:tcPr>
    </w:tblStylePr>
    <w:tblStylePr w:type="band1Horz">
      <w:tblPr/>
      <w:tcPr>
        <w:shd w:val="clear" w:color="auto" w:fill="DFDFDF" w:themeFill="accent3" w:themeFillTint="33"/>
      </w:tcPr>
    </w:tblStylePr>
  </w:style>
  <w:style w:type="table" w:styleId="ColorfulList-Accent4">
    <w:name w:val="Colorful List Accent 4"/>
    <w:basedOn w:val="TableNormal"/>
    <w:uiPriority w:val="99"/>
    <w:semiHidden/>
    <w:rsid w:val="00014566"/>
    <w:rPr>
      <w:color w:val="000000" w:themeColor="text1"/>
      <w:lang w:val="fr-FR" w:eastAsia="fr-FR"/>
    </w:rPr>
    <w:tblPr>
      <w:tblStyleRowBandSize w:val="1"/>
      <w:tblStyleColBandSize w:val="1"/>
    </w:tblPr>
    <w:tcPr>
      <w:shd w:val="clear" w:color="auto" w:fill="F4F4F4" w:themeFill="accent4" w:themeFillTint="19"/>
    </w:tcPr>
    <w:tblStylePr w:type="firstRow">
      <w:rPr>
        <w:b/>
        <w:bCs/>
        <w:color w:val="0072BC" w:themeColor="background1"/>
      </w:rPr>
      <w:tblPr/>
      <w:tcPr>
        <w:tcBorders>
          <w:bottom w:val="single" w:sz="12" w:space="0" w:color="0072BC" w:themeColor="background1"/>
        </w:tcBorders>
        <w:shd w:val="clear" w:color="auto" w:fill="4C4C4C" w:themeFill="accent3" w:themeFillShade="CC"/>
      </w:tcPr>
    </w:tblStylePr>
    <w:tblStylePr w:type="lastRow">
      <w:rPr>
        <w:b/>
        <w:bCs/>
        <w:color w:val="4C4C4C" w:themeColor="accent3"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4" w:themeFillTint="3F"/>
      </w:tcPr>
    </w:tblStylePr>
    <w:tblStylePr w:type="band1Horz">
      <w:tblPr/>
      <w:tcPr>
        <w:shd w:val="clear" w:color="auto" w:fill="EAEAEA" w:themeFill="accent4" w:themeFillTint="33"/>
      </w:tcPr>
    </w:tblStylePr>
  </w:style>
  <w:style w:type="table" w:styleId="ColorfulList-Accent5">
    <w:name w:val="Colorful List Accent 5"/>
    <w:basedOn w:val="TableNormal"/>
    <w:uiPriority w:val="99"/>
    <w:semiHidden/>
    <w:rsid w:val="00014566"/>
    <w:rPr>
      <w:color w:val="000000" w:themeColor="text1"/>
      <w:lang w:val="fr-FR" w:eastAsia="fr-FR"/>
    </w:rPr>
    <w:tblPr>
      <w:tblStyleRowBandSize w:val="1"/>
      <w:tblStyleColBandSize w:val="1"/>
    </w:tblPr>
    <w:tcPr>
      <w:shd w:val="clear" w:color="auto" w:fill="EFEFEF" w:themeFill="accent5" w:themeFillTint="19"/>
    </w:tcPr>
    <w:tblStylePr w:type="firstRow">
      <w:rPr>
        <w:b/>
        <w:bCs/>
        <w:color w:val="0072BC" w:themeColor="background1"/>
      </w:rPr>
      <w:tblPr/>
      <w:tcPr>
        <w:tcBorders>
          <w:bottom w:val="single" w:sz="12" w:space="0" w:color="0072BC"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9"/>
    <w:semiHidden/>
    <w:rsid w:val="00014566"/>
    <w:rPr>
      <w:color w:val="000000" w:themeColor="text1"/>
      <w:lang w:val="fr-FR" w:eastAsia="fr-FR"/>
    </w:rPr>
    <w:tblPr>
      <w:tblStyleRowBandSize w:val="1"/>
      <w:tblStyleColBandSize w:val="1"/>
    </w:tblPr>
    <w:tcPr>
      <w:shd w:val="clear" w:color="auto" w:fill="EDEDED" w:themeFill="accent6" w:themeFillTint="19"/>
    </w:tcPr>
    <w:tblStylePr w:type="firstRow">
      <w:rPr>
        <w:b/>
        <w:bCs/>
        <w:color w:val="0072BC" w:themeColor="background1"/>
      </w:rPr>
      <w:tblPr/>
      <w:tcPr>
        <w:tcBorders>
          <w:bottom w:val="single" w:sz="12" w:space="0" w:color="0072BC"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0072BC"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0000" w:themeColor="text1"/>
        <w:bottom w:val="single" w:sz="4" w:space="0" w:color="000000" w:themeColor="text1"/>
        <w:right w:val="single" w:sz="4" w:space="0" w:color="000000" w:themeColor="text1"/>
        <w:insideH w:val="single" w:sz="4" w:space="0" w:color="0072BC" w:themeColor="background1"/>
        <w:insideV w:val="single" w:sz="4" w:space="0" w:color="0072BC" w:themeColor="background1"/>
      </w:tblBorders>
    </w:tblPr>
    <w:tcPr>
      <w:shd w:val="clear" w:color="auto" w:fill="E6E6E6" w:themeFill="tex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0000" w:themeFill="text1" w:themeFillShade="99"/>
      </w:tcPr>
    </w:tblStylePr>
    <w:tblStylePr w:type="firstCol">
      <w:rPr>
        <w:color w:val="0072BC"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0072BC"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0072BC" w:themeColor="accent1"/>
        <w:bottom w:val="single" w:sz="4" w:space="0" w:color="0072BC" w:themeColor="accent1"/>
        <w:right w:val="single" w:sz="4" w:space="0" w:color="0072BC" w:themeColor="accent1"/>
        <w:insideH w:val="single" w:sz="4" w:space="0" w:color="0072BC" w:themeColor="background1"/>
        <w:insideV w:val="single" w:sz="4" w:space="0" w:color="0072BC" w:themeColor="background1"/>
      </w:tblBorders>
    </w:tblPr>
    <w:tcPr>
      <w:shd w:val="clear" w:color="auto" w:fill="DFF2FF" w:themeFill="accent1"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004470" w:themeFill="accent1" w:themeFillShade="99"/>
      </w:tcPr>
    </w:tblStylePr>
    <w:tblStylePr w:type="firstCol">
      <w:rPr>
        <w:color w:val="0072BC" w:themeColor="background1"/>
      </w:rPr>
      <w:tblPr/>
      <w:tcPr>
        <w:tcBorders>
          <w:top w:val="nil"/>
          <w:left w:val="nil"/>
          <w:bottom w:val="nil"/>
          <w:right w:val="nil"/>
          <w:insideH w:val="single" w:sz="4" w:space="0" w:color="004470" w:themeColor="accent1" w:themeShade="99"/>
          <w:insideV w:val="nil"/>
        </w:tcBorders>
        <w:shd w:val="clear" w:color="auto" w:fill="004470" w:themeFill="accent1" w:themeFillShade="99"/>
      </w:tcPr>
    </w:tblStylePr>
    <w:tblStylePr w:type="lastCol">
      <w:rPr>
        <w:color w:val="0072BC" w:themeColor="background1"/>
      </w:rPr>
      <w:tblPr/>
      <w:tcPr>
        <w:tcBorders>
          <w:top w:val="nil"/>
          <w:left w:val="nil"/>
          <w:bottom w:val="nil"/>
          <w:right w:val="nil"/>
          <w:insideH w:val="nil"/>
          <w:insideV w:val="nil"/>
        </w:tcBorders>
        <w:shd w:val="clear" w:color="auto" w:fill="004470" w:themeFill="accent1" w:themeFillShade="99"/>
      </w:tcPr>
    </w:tblStylePr>
    <w:tblStylePr w:type="band1Vert">
      <w:tblPr/>
      <w:tcPr>
        <w:shd w:val="clear" w:color="auto" w:fill="7ECBFF" w:themeFill="accent1" w:themeFillTint="66"/>
      </w:tcPr>
    </w:tblStylePr>
    <w:tblStylePr w:type="band1Horz">
      <w:tblPr/>
      <w:tcPr>
        <w:shd w:val="clear" w:color="auto" w:fill="5EBF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rsid w:val="00014566"/>
    <w:rPr>
      <w:color w:val="000000" w:themeColor="text1"/>
      <w:lang w:val="fr-FR" w:eastAsia="fr-FR"/>
    </w:rPr>
    <w:tblPr>
      <w:tblStyleRowBandSize w:val="1"/>
      <w:tblStyleColBandSize w:val="1"/>
      <w:tblBorders>
        <w:top w:val="single" w:sz="24" w:space="0" w:color="C00000" w:themeColor="accent2"/>
        <w:left w:val="single" w:sz="4" w:space="0" w:color="C00000" w:themeColor="accent2"/>
        <w:bottom w:val="single" w:sz="4" w:space="0" w:color="C00000" w:themeColor="accent2"/>
        <w:right w:val="single" w:sz="4" w:space="0" w:color="C00000" w:themeColor="accent2"/>
        <w:insideH w:val="single" w:sz="4" w:space="0" w:color="0072BC" w:themeColor="background1"/>
        <w:insideV w:val="single" w:sz="4" w:space="0" w:color="0072BC" w:themeColor="background1"/>
      </w:tblBorders>
    </w:tblPr>
    <w:tcPr>
      <w:shd w:val="clear" w:color="auto" w:fill="FFDFDF" w:themeFill="accent2" w:themeFillTint="19"/>
    </w:tcPr>
    <w:tblStylePr w:type="firstRow">
      <w:rPr>
        <w:b/>
        <w:bCs/>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730000" w:themeFill="accent2" w:themeFillShade="99"/>
      </w:tcPr>
    </w:tblStylePr>
    <w:tblStylePr w:type="firstCol">
      <w:rPr>
        <w:color w:val="0072BC" w:themeColor="background1"/>
      </w:rPr>
      <w:tblPr/>
      <w:tcPr>
        <w:tcBorders>
          <w:top w:val="nil"/>
          <w:left w:val="nil"/>
          <w:bottom w:val="nil"/>
          <w:right w:val="nil"/>
          <w:insideH w:val="single" w:sz="4" w:space="0" w:color="730000" w:themeColor="accent2" w:themeShade="99"/>
          <w:insideV w:val="nil"/>
        </w:tcBorders>
        <w:shd w:val="clear" w:color="auto" w:fill="730000" w:themeFill="accent2" w:themeFillShade="99"/>
      </w:tcPr>
    </w:tblStylePr>
    <w:tblStylePr w:type="lastCol">
      <w:rPr>
        <w:color w:val="0072BC" w:themeColor="background1"/>
      </w:rPr>
      <w:tblPr/>
      <w:tcPr>
        <w:tcBorders>
          <w:top w:val="nil"/>
          <w:left w:val="nil"/>
          <w:bottom w:val="nil"/>
          <w:right w:val="nil"/>
          <w:insideH w:val="nil"/>
          <w:insideV w:val="nil"/>
        </w:tcBorders>
        <w:shd w:val="clear" w:color="auto" w:fill="730000" w:themeFill="accent2" w:themeFillShade="99"/>
      </w:tcPr>
    </w:tblStylePr>
    <w:tblStylePr w:type="band1Vert">
      <w:tblPr/>
      <w:tcPr>
        <w:shd w:val="clear" w:color="auto" w:fill="FF7F7F" w:themeFill="accent2" w:themeFillTint="66"/>
      </w:tcPr>
    </w:tblStylePr>
    <w:tblStylePr w:type="band1Horz">
      <w:tblPr/>
      <w:tcPr>
        <w:shd w:val="clear" w:color="auto" w:fill="FF606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rsid w:val="00014566"/>
    <w:rPr>
      <w:color w:val="000000" w:themeColor="text1"/>
      <w:lang w:val="fr-FR" w:eastAsia="fr-FR"/>
    </w:rPr>
    <w:tblPr>
      <w:tblStyleRowBandSize w:val="1"/>
      <w:tblStyleColBandSize w:val="1"/>
      <w:tblBorders>
        <w:top w:val="single" w:sz="24" w:space="0" w:color="969696" w:themeColor="accent4"/>
        <w:left w:val="single" w:sz="4" w:space="0" w:color="5F5F5F" w:themeColor="accent3"/>
        <w:bottom w:val="single" w:sz="4" w:space="0" w:color="5F5F5F" w:themeColor="accent3"/>
        <w:right w:val="single" w:sz="4" w:space="0" w:color="5F5F5F" w:themeColor="accent3"/>
        <w:insideH w:val="single" w:sz="4" w:space="0" w:color="0072BC" w:themeColor="background1"/>
        <w:insideV w:val="single" w:sz="4" w:space="0" w:color="0072BC" w:themeColor="background1"/>
      </w:tblBorders>
    </w:tblPr>
    <w:tcPr>
      <w:shd w:val="clear" w:color="auto" w:fill="EFEFEF" w:themeFill="accent3" w:themeFillTint="19"/>
    </w:tcPr>
    <w:tblStylePr w:type="firstRow">
      <w:rPr>
        <w:b/>
        <w:bCs/>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3" w:themeFillShade="99"/>
      </w:tcPr>
    </w:tblStylePr>
    <w:tblStylePr w:type="firstCol">
      <w:rPr>
        <w:color w:val="0072BC" w:themeColor="background1"/>
      </w:rPr>
      <w:tblPr/>
      <w:tcPr>
        <w:tcBorders>
          <w:top w:val="nil"/>
          <w:left w:val="nil"/>
          <w:bottom w:val="nil"/>
          <w:right w:val="nil"/>
          <w:insideH w:val="single" w:sz="4" w:space="0" w:color="393939" w:themeColor="accent3" w:themeShade="99"/>
          <w:insideV w:val="nil"/>
        </w:tcBorders>
        <w:shd w:val="clear" w:color="auto" w:fill="393939" w:themeFill="accent3"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3" w:themeFillShade="99"/>
      </w:tcPr>
    </w:tblStylePr>
    <w:tblStylePr w:type="band1Vert">
      <w:tblPr/>
      <w:tcPr>
        <w:shd w:val="clear" w:color="auto" w:fill="BFBFBF" w:themeFill="accent3" w:themeFillTint="66"/>
      </w:tcPr>
    </w:tblStylePr>
    <w:tblStylePr w:type="band1Horz">
      <w:tblPr/>
      <w:tcPr>
        <w:shd w:val="clear" w:color="auto" w:fill="AFAFAF" w:themeFill="accent3" w:themeFillTint="7F"/>
      </w:tcPr>
    </w:tblStylePr>
  </w:style>
  <w:style w:type="table" w:styleId="ColorfulShading-Accent4">
    <w:name w:val="Colorful Shading Accent 4"/>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3"/>
        <w:left w:val="single" w:sz="4" w:space="0" w:color="969696" w:themeColor="accent4"/>
        <w:bottom w:val="single" w:sz="4" w:space="0" w:color="969696" w:themeColor="accent4"/>
        <w:right w:val="single" w:sz="4" w:space="0" w:color="969696" w:themeColor="accent4"/>
        <w:insideH w:val="single" w:sz="4" w:space="0" w:color="0072BC" w:themeColor="background1"/>
        <w:insideV w:val="single" w:sz="4" w:space="0" w:color="0072BC" w:themeColor="background1"/>
      </w:tblBorders>
    </w:tblPr>
    <w:tcPr>
      <w:shd w:val="clear" w:color="auto" w:fill="F4F4F4" w:themeFill="accent4" w:themeFillTint="19"/>
    </w:tcPr>
    <w:tblStylePr w:type="firstRow">
      <w:rPr>
        <w:b/>
        <w:bCs/>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5A5A5A" w:themeFill="accent4" w:themeFillShade="99"/>
      </w:tcPr>
    </w:tblStylePr>
    <w:tblStylePr w:type="firstCol">
      <w:rPr>
        <w:color w:val="0072BC" w:themeColor="background1"/>
      </w:rPr>
      <w:tblPr/>
      <w:tcPr>
        <w:tcBorders>
          <w:top w:val="nil"/>
          <w:left w:val="nil"/>
          <w:bottom w:val="nil"/>
          <w:right w:val="nil"/>
          <w:insideH w:val="single" w:sz="4" w:space="0" w:color="5A5A5A" w:themeColor="accent4" w:themeShade="99"/>
          <w:insideV w:val="nil"/>
        </w:tcBorders>
        <w:shd w:val="clear" w:color="auto" w:fill="5A5A5A" w:themeFill="accent4" w:themeFillShade="99"/>
      </w:tcPr>
    </w:tblStylePr>
    <w:tblStylePr w:type="lastCol">
      <w:rPr>
        <w:color w:val="0072BC" w:themeColor="background1"/>
      </w:rPr>
      <w:tblPr/>
      <w:tcPr>
        <w:tcBorders>
          <w:top w:val="nil"/>
          <w:left w:val="nil"/>
          <w:bottom w:val="nil"/>
          <w:right w:val="nil"/>
          <w:insideH w:val="nil"/>
          <w:insideV w:val="nil"/>
        </w:tcBorders>
        <w:shd w:val="clear" w:color="auto" w:fill="5A5A5A" w:themeFill="accent4" w:themeFillShade="99"/>
      </w:tcPr>
    </w:tblStylePr>
    <w:tblStylePr w:type="band1Vert">
      <w:tblPr/>
      <w:tcPr>
        <w:shd w:val="clear" w:color="auto" w:fill="D5D5D5" w:themeFill="accent4" w:themeFillTint="66"/>
      </w:tcPr>
    </w:tblStylePr>
    <w:tblStylePr w:type="band1Horz">
      <w:tblPr/>
      <w:tcPr>
        <w:shd w:val="clear" w:color="auto" w:fill="CACACA"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rsid w:val="00014566"/>
    <w:rPr>
      <w:color w:val="000000" w:themeColor="text1"/>
      <w:lang w:val="fr-FR" w:eastAsia="fr-FR"/>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0072BC" w:themeColor="background1"/>
        <w:insideV w:val="single" w:sz="4" w:space="0" w:color="0072BC"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393939" w:themeFill="accent5" w:themeFillShade="99"/>
      </w:tcPr>
    </w:tblStylePr>
    <w:tblStylePr w:type="firstCol">
      <w:rPr>
        <w:color w:val="0072BC"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0072BC"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rsid w:val="00014566"/>
    <w:rPr>
      <w:color w:val="000000" w:themeColor="text1"/>
      <w:lang w:val="fr-FR" w:eastAsia="fr-FR"/>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0072BC" w:themeColor="background1"/>
        <w:insideV w:val="single" w:sz="4" w:space="0" w:color="0072BC"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rPr>
        <w:b/>
        <w:bCs/>
        <w:color w:val="0072BC" w:themeColor="background1"/>
      </w:rPr>
      <w:tblPr/>
      <w:tcPr>
        <w:tcBorders>
          <w:top w:val="single" w:sz="6" w:space="0" w:color="0072BC" w:themeColor="background1"/>
        </w:tcBorders>
        <w:shd w:val="clear" w:color="auto" w:fill="2E2E2E" w:themeFill="accent6" w:themeFillShade="99"/>
      </w:tcPr>
    </w:tblStylePr>
    <w:tblStylePr w:type="firstCol">
      <w:rPr>
        <w:color w:val="0072BC"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0072BC"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rsid w:val="00014566"/>
    <w:rPr>
      <w:color w:val="0072BC" w:themeColor="background1"/>
      <w:lang w:val="fr-FR" w:eastAsia="fr-FR"/>
    </w:rPr>
    <w:tblPr>
      <w:tblStyleRowBandSize w:val="1"/>
      <w:tblStyleColBandSize w:val="1"/>
    </w:tblPr>
    <w:tcPr>
      <w:shd w:val="clear" w:color="auto" w:fill="000000" w:themeFill="tex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0072BC" w:themeColor="background1"/>
          <w:insideH w:val="nil"/>
          <w:insideV w:val="nil"/>
        </w:tcBorders>
        <w:shd w:val="clear" w:color="auto" w:fill="000000" w:themeFill="text1" w:themeFillShade="BF"/>
      </w:tcPr>
    </w:tblStylePr>
    <w:tblStylePr w:type="lastCol">
      <w:tblPr/>
      <w:tcPr>
        <w:tcBorders>
          <w:top w:val="nil"/>
          <w:left w:val="single" w:sz="18" w:space="0" w:color="0072BC"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rsid w:val="00014566"/>
    <w:rPr>
      <w:color w:val="0072BC" w:themeColor="background1"/>
      <w:lang w:val="fr-FR" w:eastAsia="fr-FR"/>
    </w:rPr>
    <w:tblPr>
      <w:tblStyleRowBandSize w:val="1"/>
      <w:tblStyleColBandSize w:val="1"/>
    </w:tblPr>
    <w:tcPr>
      <w:shd w:val="clear" w:color="auto" w:fill="0072BC" w:themeFill="accent1"/>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00385D" w:themeFill="accent1" w:themeFillShade="7F"/>
      </w:tcPr>
    </w:tblStylePr>
    <w:tblStylePr w:type="firstCol">
      <w:tblPr/>
      <w:tcPr>
        <w:tcBorders>
          <w:top w:val="nil"/>
          <w:left w:val="nil"/>
          <w:bottom w:val="nil"/>
          <w:right w:val="single" w:sz="18" w:space="0" w:color="0072BC" w:themeColor="background1"/>
          <w:insideH w:val="nil"/>
          <w:insideV w:val="nil"/>
        </w:tcBorders>
        <w:shd w:val="clear" w:color="auto" w:fill="00548C" w:themeFill="accent1" w:themeFillShade="BF"/>
      </w:tcPr>
    </w:tblStylePr>
    <w:tblStylePr w:type="lastCol">
      <w:tblPr/>
      <w:tcPr>
        <w:tcBorders>
          <w:top w:val="nil"/>
          <w:left w:val="single" w:sz="18" w:space="0" w:color="0072BC" w:themeColor="background1"/>
          <w:bottom w:val="nil"/>
          <w:right w:val="nil"/>
          <w:insideH w:val="nil"/>
          <w:insideV w:val="nil"/>
        </w:tcBorders>
        <w:shd w:val="clear" w:color="auto" w:fill="00548C" w:themeFill="accent1" w:themeFillShade="BF"/>
      </w:tcPr>
    </w:tblStylePr>
    <w:tblStylePr w:type="band1Vert">
      <w:tblPr/>
      <w:tcPr>
        <w:tcBorders>
          <w:top w:val="nil"/>
          <w:left w:val="nil"/>
          <w:bottom w:val="nil"/>
          <w:right w:val="nil"/>
          <w:insideH w:val="nil"/>
          <w:insideV w:val="nil"/>
        </w:tcBorders>
        <w:shd w:val="clear" w:color="auto" w:fill="00548C" w:themeFill="accent1" w:themeFillShade="BF"/>
      </w:tcPr>
    </w:tblStylePr>
    <w:tblStylePr w:type="band1Horz">
      <w:tblPr/>
      <w:tcPr>
        <w:tcBorders>
          <w:top w:val="nil"/>
          <w:left w:val="nil"/>
          <w:bottom w:val="nil"/>
          <w:right w:val="nil"/>
          <w:insideH w:val="nil"/>
          <w:insideV w:val="nil"/>
        </w:tcBorders>
        <w:shd w:val="clear" w:color="auto" w:fill="00548C" w:themeFill="accent1" w:themeFillShade="BF"/>
      </w:tcPr>
    </w:tblStylePr>
  </w:style>
  <w:style w:type="table" w:styleId="DarkList-Accent2">
    <w:name w:val="Dark List Accent 2"/>
    <w:basedOn w:val="TableNormal"/>
    <w:uiPriority w:val="99"/>
    <w:semiHidden/>
    <w:rsid w:val="00014566"/>
    <w:rPr>
      <w:color w:val="0072BC" w:themeColor="background1"/>
      <w:lang w:val="fr-FR" w:eastAsia="fr-FR"/>
    </w:rPr>
    <w:tblPr>
      <w:tblStyleRowBandSize w:val="1"/>
      <w:tblStyleColBandSize w:val="1"/>
    </w:tblPr>
    <w:tcPr>
      <w:shd w:val="clear" w:color="auto" w:fill="C00000" w:themeFill="accent2"/>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5F0000" w:themeFill="accent2" w:themeFillShade="7F"/>
      </w:tcPr>
    </w:tblStylePr>
    <w:tblStylePr w:type="firstCol">
      <w:tblPr/>
      <w:tcPr>
        <w:tcBorders>
          <w:top w:val="nil"/>
          <w:left w:val="nil"/>
          <w:bottom w:val="nil"/>
          <w:right w:val="single" w:sz="18" w:space="0" w:color="0072BC" w:themeColor="background1"/>
          <w:insideH w:val="nil"/>
          <w:insideV w:val="nil"/>
        </w:tcBorders>
        <w:shd w:val="clear" w:color="auto" w:fill="8F0000" w:themeFill="accent2" w:themeFillShade="BF"/>
      </w:tcPr>
    </w:tblStylePr>
    <w:tblStylePr w:type="lastCol">
      <w:tblPr/>
      <w:tcPr>
        <w:tcBorders>
          <w:top w:val="nil"/>
          <w:left w:val="single" w:sz="18" w:space="0" w:color="0072BC" w:themeColor="background1"/>
          <w:bottom w:val="nil"/>
          <w:right w:val="nil"/>
          <w:insideH w:val="nil"/>
          <w:insideV w:val="nil"/>
        </w:tcBorders>
        <w:shd w:val="clear" w:color="auto" w:fill="8F0000" w:themeFill="accent2" w:themeFillShade="BF"/>
      </w:tcPr>
    </w:tblStylePr>
    <w:tblStylePr w:type="band1Vert">
      <w:tblPr/>
      <w:tcPr>
        <w:tcBorders>
          <w:top w:val="nil"/>
          <w:left w:val="nil"/>
          <w:bottom w:val="nil"/>
          <w:right w:val="nil"/>
          <w:insideH w:val="nil"/>
          <w:insideV w:val="nil"/>
        </w:tcBorders>
        <w:shd w:val="clear" w:color="auto" w:fill="8F0000" w:themeFill="accent2" w:themeFillShade="BF"/>
      </w:tcPr>
    </w:tblStylePr>
    <w:tblStylePr w:type="band1Horz">
      <w:tblPr/>
      <w:tcPr>
        <w:tcBorders>
          <w:top w:val="nil"/>
          <w:left w:val="nil"/>
          <w:bottom w:val="nil"/>
          <w:right w:val="nil"/>
          <w:insideH w:val="nil"/>
          <w:insideV w:val="nil"/>
        </w:tcBorders>
        <w:shd w:val="clear" w:color="auto" w:fill="8F0000" w:themeFill="accent2" w:themeFillShade="BF"/>
      </w:tcPr>
    </w:tblStylePr>
  </w:style>
  <w:style w:type="table" w:styleId="DarkList-Accent3">
    <w:name w:val="Dark List Accent 3"/>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3"/>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3"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3"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3" w:themeFillShade="BF"/>
      </w:tcPr>
    </w:tblStylePr>
    <w:tblStylePr w:type="band1Vert">
      <w:tblPr/>
      <w:tcPr>
        <w:tcBorders>
          <w:top w:val="nil"/>
          <w:left w:val="nil"/>
          <w:bottom w:val="nil"/>
          <w:right w:val="nil"/>
          <w:insideH w:val="nil"/>
          <w:insideV w:val="nil"/>
        </w:tcBorders>
        <w:shd w:val="clear" w:color="auto" w:fill="474747" w:themeFill="accent3" w:themeFillShade="BF"/>
      </w:tcPr>
    </w:tblStylePr>
    <w:tblStylePr w:type="band1Horz">
      <w:tblPr/>
      <w:tcPr>
        <w:tcBorders>
          <w:top w:val="nil"/>
          <w:left w:val="nil"/>
          <w:bottom w:val="nil"/>
          <w:right w:val="nil"/>
          <w:insideH w:val="nil"/>
          <w:insideV w:val="nil"/>
        </w:tcBorders>
        <w:shd w:val="clear" w:color="auto" w:fill="474747" w:themeFill="accent3" w:themeFillShade="BF"/>
      </w:tcPr>
    </w:tblStylePr>
  </w:style>
  <w:style w:type="table" w:styleId="DarkList-Accent4">
    <w:name w:val="Dark List Accent 4"/>
    <w:basedOn w:val="TableNormal"/>
    <w:uiPriority w:val="99"/>
    <w:semiHidden/>
    <w:rsid w:val="00014566"/>
    <w:rPr>
      <w:color w:val="0072BC" w:themeColor="background1"/>
      <w:lang w:val="fr-FR" w:eastAsia="fr-FR"/>
    </w:rPr>
    <w:tblPr>
      <w:tblStyleRowBandSize w:val="1"/>
      <w:tblStyleColBandSize w:val="1"/>
    </w:tblPr>
    <w:tcPr>
      <w:shd w:val="clear" w:color="auto" w:fill="969696" w:themeFill="accent4"/>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4A4A4A" w:themeFill="accent4" w:themeFillShade="7F"/>
      </w:tcPr>
    </w:tblStylePr>
    <w:tblStylePr w:type="firstCol">
      <w:tblPr/>
      <w:tcPr>
        <w:tcBorders>
          <w:top w:val="nil"/>
          <w:left w:val="nil"/>
          <w:bottom w:val="nil"/>
          <w:right w:val="single" w:sz="18" w:space="0" w:color="0072BC" w:themeColor="background1"/>
          <w:insideH w:val="nil"/>
          <w:insideV w:val="nil"/>
        </w:tcBorders>
        <w:shd w:val="clear" w:color="auto" w:fill="707070" w:themeFill="accent4" w:themeFillShade="BF"/>
      </w:tcPr>
    </w:tblStylePr>
    <w:tblStylePr w:type="lastCol">
      <w:tblPr/>
      <w:tcPr>
        <w:tcBorders>
          <w:top w:val="nil"/>
          <w:left w:val="single" w:sz="18" w:space="0" w:color="0072BC" w:themeColor="background1"/>
          <w:bottom w:val="nil"/>
          <w:right w:val="nil"/>
          <w:insideH w:val="nil"/>
          <w:insideV w:val="nil"/>
        </w:tcBorders>
        <w:shd w:val="clear" w:color="auto" w:fill="707070" w:themeFill="accent4" w:themeFillShade="BF"/>
      </w:tcPr>
    </w:tblStylePr>
    <w:tblStylePr w:type="band1Vert">
      <w:tblPr/>
      <w:tcPr>
        <w:tcBorders>
          <w:top w:val="nil"/>
          <w:left w:val="nil"/>
          <w:bottom w:val="nil"/>
          <w:right w:val="nil"/>
          <w:insideH w:val="nil"/>
          <w:insideV w:val="nil"/>
        </w:tcBorders>
        <w:shd w:val="clear" w:color="auto" w:fill="707070" w:themeFill="accent4" w:themeFillShade="BF"/>
      </w:tcPr>
    </w:tblStylePr>
    <w:tblStylePr w:type="band1Horz">
      <w:tblPr/>
      <w:tcPr>
        <w:tcBorders>
          <w:top w:val="nil"/>
          <w:left w:val="nil"/>
          <w:bottom w:val="nil"/>
          <w:right w:val="nil"/>
          <w:insideH w:val="nil"/>
          <w:insideV w:val="nil"/>
        </w:tcBorders>
        <w:shd w:val="clear" w:color="auto" w:fill="707070" w:themeFill="accent4" w:themeFillShade="BF"/>
      </w:tcPr>
    </w:tblStylePr>
  </w:style>
  <w:style w:type="table" w:styleId="DarkList-Accent5">
    <w:name w:val="Dark List Accent 5"/>
    <w:basedOn w:val="TableNormal"/>
    <w:uiPriority w:val="99"/>
    <w:semiHidden/>
    <w:rsid w:val="00014566"/>
    <w:rPr>
      <w:color w:val="0072BC" w:themeColor="background1"/>
      <w:lang w:val="fr-FR" w:eastAsia="fr-FR"/>
    </w:rPr>
    <w:tblPr>
      <w:tblStyleRowBandSize w:val="1"/>
      <w:tblStyleColBandSize w:val="1"/>
    </w:tblPr>
    <w:tcPr>
      <w:shd w:val="clear" w:color="auto" w:fill="5F5F5F" w:themeFill="accent5"/>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0072BC" w:themeColor="background1"/>
          <w:insideH w:val="nil"/>
          <w:insideV w:val="nil"/>
        </w:tcBorders>
        <w:shd w:val="clear" w:color="auto" w:fill="474747" w:themeFill="accent5" w:themeFillShade="BF"/>
      </w:tcPr>
    </w:tblStylePr>
    <w:tblStylePr w:type="lastCol">
      <w:tblPr/>
      <w:tcPr>
        <w:tcBorders>
          <w:top w:val="nil"/>
          <w:left w:val="single" w:sz="18" w:space="0" w:color="0072BC"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9"/>
    <w:semiHidden/>
    <w:rsid w:val="00014566"/>
    <w:rPr>
      <w:color w:val="0072BC" w:themeColor="background1"/>
      <w:lang w:val="fr-FR" w:eastAsia="fr-FR"/>
    </w:rPr>
    <w:tblPr>
      <w:tblStyleRowBandSize w:val="1"/>
      <w:tblStyleColBandSize w:val="1"/>
    </w:tblPr>
    <w:tcPr>
      <w:shd w:val="clear" w:color="auto" w:fill="4D4D4D" w:themeFill="accent6"/>
    </w:tcPr>
    <w:tblStylePr w:type="firstRow">
      <w:rPr>
        <w:b/>
        <w:bCs/>
      </w:rPr>
      <w:tblPr/>
      <w:tcPr>
        <w:tcBorders>
          <w:top w:val="nil"/>
          <w:left w:val="nil"/>
          <w:bottom w:val="single" w:sz="18" w:space="0" w:color="0072BC" w:themeColor="background1"/>
          <w:right w:val="nil"/>
          <w:insideH w:val="nil"/>
          <w:insideV w:val="nil"/>
        </w:tcBorders>
        <w:shd w:val="clear" w:color="auto" w:fill="000000" w:themeFill="text1"/>
      </w:tcPr>
    </w:tblStylePr>
    <w:tblStylePr w:type="lastRow">
      <w:tblPr/>
      <w:tcPr>
        <w:tcBorders>
          <w:top w:val="single" w:sz="18" w:space="0" w:color="0072BC"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0072BC" w:themeColor="background1"/>
          <w:insideH w:val="nil"/>
          <w:insideV w:val="nil"/>
        </w:tcBorders>
        <w:shd w:val="clear" w:color="auto" w:fill="393939" w:themeFill="accent6" w:themeFillShade="BF"/>
      </w:tcPr>
    </w:tblStylePr>
    <w:tblStylePr w:type="lastCol">
      <w:tblPr/>
      <w:tcPr>
        <w:tcBorders>
          <w:top w:val="nil"/>
          <w:left w:val="single" w:sz="18" w:space="0" w:color="0072BC"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9"/>
    <w:semiHidden/>
    <w:rsid w:val="00014566"/>
  </w:style>
  <w:style w:type="character" w:customStyle="1" w:styleId="DateChar">
    <w:name w:val="Date Char"/>
    <w:basedOn w:val="DefaultParagraphFont"/>
    <w:link w:val="Date"/>
    <w:uiPriority w:val="99"/>
    <w:semiHidden/>
    <w:rsid w:val="00014566"/>
    <w:rPr>
      <w:rFonts w:eastAsiaTheme="minorEastAsia"/>
      <w:sz w:val="24"/>
    </w:rPr>
  </w:style>
  <w:style w:type="paragraph" w:styleId="E-mailSignature">
    <w:name w:val="E-mail Signature"/>
    <w:basedOn w:val="Normal"/>
    <w:link w:val="E-mailSignatureChar"/>
    <w:uiPriority w:val="99"/>
    <w:semiHidden/>
    <w:rsid w:val="00014566"/>
  </w:style>
  <w:style w:type="character" w:customStyle="1" w:styleId="E-mailSignatureChar">
    <w:name w:val="E-mail Signature Char"/>
    <w:basedOn w:val="DefaultParagraphFont"/>
    <w:link w:val="E-mailSignature"/>
    <w:uiPriority w:val="99"/>
    <w:semiHidden/>
    <w:rsid w:val="00014566"/>
    <w:rPr>
      <w:rFonts w:eastAsiaTheme="minorEastAsia"/>
      <w:sz w:val="24"/>
    </w:rPr>
  </w:style>
  <w:style w:type="paragraph" w:styleId="EnvelopeAddress">
    <w:name w:val="envelope address"/>
    <w:basedOn w:val="Normal"/>
    <w:uiPriority w:val="99"/>
    <w:semiHidden/>
    <w:rsid w:val="00014566"/>
    <w:pPr>
      <w:framePr w:w="7938" w:h="1985" w:hRule="exact" w:hSpace="141" w:wrap="auto" w:hAnchor="page" w:xAlign="center" w:yAlign="bottom"/>
      <w:ind w:left="2835"/>
    </w:pPr>
    <w:rPr>
      <w:rFonts w:asciiTheme="majorHAnsi" w:eastAsiaTheme="majorEastAsia" w:hAnsiTheme="majorHAnsi" w:cstheme="majorBidi"/>
      <w:szCs w:val="24"/>
    </w:rPr>
  </w:style>
  <w:style w:type="paragraph" w:styleId="EnvelopeReturn">
    <w:name w:val="envelope return"/>
    <w:basedOn w:val="Normal"/>
    <w:uiPriority w:val="99"/>
    <w:semiHidden/>
    <w:rsid w:val="00014566"/>
    <w:rPr>
      <w:rFonts w:asciiTheme="majorHAnsi" w:eastAsiaTheme="majorEastAsia" w:hAnsiTheme="majorHAnsi" w:cstheme="majorBidi"/>
      <w:sz w:val="20"/>
      <w:szCs w:val="20"/>
    </w:rPr>
  </w:style>
  <w:style w:type="character" w:styleId="HTMLAcronym">
    <w:name w:val="HTML Acronym"/>
    <w:basedOn w:val="DefaultParagraphFont"/>
    <w:uiPriority w:val="99"/>
    <w:semiHidden/>
    <w:rsid w:val="00014566"/>
  </w:style>
  <w:style w:type="paragraph" w:styleId="HTMLAddress">
    <w:name w:val="HTML Address"/>
    <w:basedOn w:val="Normal"/>
    <w:link w:val="HTMLAddressChar"/>
    <w:uiPriority w:val="99"/>
    <w:semiHidden/>
    <w:rsid w:val="00014566"/>
    <w:rPr>
      <w:i/>
      <w:iCs/>
    </w:rPr>
  </w:style>
  <w:style w:type="character" w:customStyle="1" w:styleId="HTMLAddressChar">
    <w:name w:val="HTML Address Char"/>
    <w:basedOn w:val="DefaultParagraphFont"/>
    <w:link w:val="HTMLAddress"/>
    <w:uiPriority w:val="99"/>
    <w:semiHidden/>
    <w:rsid w:val="00014566"/>
    <w:rPr>
      <w:rFonts w:eastAsiaTheme="minorEastAsia"/>
      <w:i/>
      <w:iCs/>
      <w:sz w:val="24"/>
    </w:rPr>
  </w:style>
  <w:style w:type="character" w:styleId="HTMLCite">
    <w:name w:val="HTML Cite"/>
    <w:basedOn w:val="DefaultParagraphFont"/>
    <w:uiPriority w:val="99"/>
    <w:semiHidden/>
    <w:rsid w:val="00014566"/>
    <w:rPr>
      <w:i/>
      <w:iCs/>
    </w:rPr>
  </w:style>
  <w:style w:type="character" w:styleId="HTMLCode">
    <w:name w:val="HTML Code"/>
    <w:basedOn w:val="DefaultParagraphFont"/>
    <w:uiPriority w:val="99"/>
    <w:semiHidden/>
    <w:rsid w:val="00014566"/>
    <w:rPr>
      <w:rFonts w:ascii="Consolas" w:hAnsi="Consolas" w:cs="Consolas"/>
      <w:sz w:val="20"/>
      <w:szCs w:val="20"/>
    </w:rPr>
  </w:style>
  <w:style w:type="character" w:styleId="HTMLDefinition">
    <w:name w:val="HTML Definition"/>
    <w:basedOn w:val="DefaultParagraphFont"/>
    <w:uiPriority w:val="99"/>
    <w:semiHidden/>
    <w:rsid w:val="00014566"/>
    <w:rPr>
      <w:i/>
      <w:iCs/>
    </w:rPr>
  </w:style>
  <w:style w:type="character" w:styleId="HTMLKeyboard">
    <w:name w:val="HTML Keyboard"/>
    <w:basedOn w:val="DefaultParagraphFont"/>
    <w:uiPriority w:val="99"/>
    <w:semiHidden/>
    <w:rsid w:val="00014566"/>
    <w:rPr>
      <w:rFonts w:ascii="Consolas" w:hAnsi="Consolas" w:cs="Consolas"/>
      <w:sz w:val="20"/>
      <w:szCs w:val="20"/>
    </w:rPr>
  </w:style>
  <w:style w:type="paragraph" w:styleId="HTMLPreformatted">
    <w:name w:val="HTML Preformatted"/>
    <w:basedOn w:val="Normal"/>
    <w:link w:val="HTMLPreformattedChar"/>
    <w:uiPriority w:val="99"/>
    <w:semiHidden/>
    <w:rsid w:val="00014566"/>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14566"/>
    <w:rPr>
      <w:rFonts w:ascii="Consolas" w:eastAsiaTheme="minorEastAsia" w:hAnsi="Consolas" w:cs="Consolas"/>
      <w:sz w:val="20"/>
      <w:szCs w:val="20"/>
    </w:rPr>
  </w:style>
  <w:style w:type="character" w:styleId="HTMLSample">
    <w:name w:val="HTML Sample"/>
    <w:basedOn w:val="DefaultParagraphFont"/>
    <w:uiPriority w:val="99"/>
    <w:semiHidden/>
    <w:rsid w:val="00014566"/>
    <w:rPr>
      <w:rFonts w:ascii="Consolas" w:hAnsi="Consolas" w:cs="Consolas"/>
      <w:sz w:val="24"/>
      <w:szCs w:val="24"/>
    </w:rPr>
  </w:style>
  <w:style w:type="character" w:styleId="HTMLTypewriter">
    <w:name w:val="HTML Typewriter"/>
    <w:basedOn w:val="DefaultParagraphFont"/>
    <w:uiPriority w:val="99"/>
    <w:semiHidden/>
    <w:rsid w:val="00014566"/>
    <w:rPr>
      <w:rFonts w:ascii="Consolas" w:hAnsi="Consolas" w:cs="Consolas"/>
      <w:sz w:val="20"/>
      <w:szCs w:val="20"/>
    </w:rPr>
  </w:style>
  <w:style w:type="character" w:styleId="HTMLVariable">
    <w:name w:val="HTML Variable"/>
    <w:basedOn w:val="DefaultParagraphFont"/>
    <w:uiPriority w:val="99"/>
    <w:semiHidden/>
    <w:rsid w:val="00014566"/>
    <w:rPr>
      <w:i/>
      <w:iCs/>
    </w:rPr>
  </w:style>
  <w:style w:type="paragraph" w:styleId="Index1">
    <w:name w:val="index 1"/>
    <w:basedOn w:val="Normal"/>
    <w:next w:val="Normal"/>
    <w:autoRedefine/>
    <w:uiPriority w:val="99"/>
    <w:semiHidden/>
    <w:rsid w:val="00014566"/>
    <w:pPr>
      <w:ind w:left="240" w:hanging="240"/>
    </w:pPr>
  </w:style>
  <w:style w:type="paragraph" w:styleId="Index2">
    <w:name w:val="index 2"/>
    <w:basedOn w:val="Normal"/>
    <w:next w:val="Normal"/>
    <w:autoRedefine/>
    <w:uiPriority w:val="99"/>
    <w:semiHidden/>
    <w:rsid w:val="00014566"/>
    <w:pPr>
      <w:ind w:left="480" w:hanging="240"/>
    </w:pPr>
  </w:style>
  <w:style w:type="paragraph" w:styleId="Index3">
    <w:name w:val="index 3"/>
    <w:basedOn w:val="Normal"/>
    <w:next w:val="Normal"/>
    <w:autoRedefine/>
    <w:uiPriority w:val="99"/>
    <w:semiHidden/>
    <w:rsid w:val="00014566"/>
    <w:pPr>
      <w:ind w:left="720" w:hanging="240"/>
    </w:pPr>
  </w:style>
  <w:style w:type="paragraph" w:styleId="Index4">
    <w:name w:val="index 4"/>
    <w:basedOn w:val="Normal"/>
    <w:next w:val="Normal"/>
    <w:autoRedefine/>
    <w:uiPriority w:val="99"/>
    <w:semiHidden/>
    <w:rsid w:val="00014566"/>
    <w:pPr>
      <w:ind w:left="960" w:hanging="240"/>
    </w:pPr>
  </w:style>
  <w:style w:type="paragraph" w:styleId="Index5">
    <w:name w:val="index 5"/>
    <w:basedOn w:val="Normal"/>
    <w:next w:val="Normal"/>
    <w:autoRedefine/>
    <w:uiPriority w:val="99"/>
    <w:semiHidden/>
    <w:rsid w:val="00014566"/>
    <w:pPr>
      <w:ind w:left="1200" w:hanging="240"/>
    </w:pPr>
  </w:style>
  <w:style w:type="paragraph" w:styleId="Index6">
    <w:name w:val="index 6"/>
    <w:basedOn w:val="Normal"/>
    <w:next w:val="Normal"/>
    <w:autoRedefine/>
    <w:uiPriority w:val="99"/>
    <w:semiHidden/>
    <w:rsid w:val="00014566"/>
    <w:pPr>
      <w:ind w:left="1440" w:hanging="240"/>
    </w:pPr>
  </w:style>
  <w:style w:type="paragraph" w:styleId="Index7">
    <w:name w:val="index 7"/>
    <w:basedOn w:val="Normal"/>
    <w:next w:val="Normal"/>
    <w:autoRedefine/>
    <w:uiPriority w:val="99"/>
    <w:semiHidden/>
    <w:rsid w:val="00014566"/>
    <w:pPr>
      <w:ind w:left="1680" w:hanging="240"/>
    </w:pPr>
  </w:style>
  <w:style w:type="paragraph" w:styleId="Index8">
    <w:name w:val="index 8"/>
    <w:basedOn w:val="Normal"/>
    <w:next w:val="Normal"/>
    <w:autoRedefine/>
    <w:uiPriority w:val="99"/>
    <w:semiHidden/>
    <w:rsid w:val="00014566"/>
    <w:pPr>
      <w:ind w:left="1920" w:hanging="240"/>
    </w:pPr>
  </w:style>
  <w:style w:type="paragraph" w:styleId="Index9">
    <w:name w:val="index 9"/>
    <w:basedOn w:val="Normal"/>
    <w:next w:val="Normal"/>
    <w:autoRedefine/>
    <w:uiPriority w:val="99"/>
    <w:semiHidden/>
    <w:rsid w:val="00014566"/>
    <w:pPr>
      <w:ind w:left="2160" w:hanging="240"/>
    </w:pPr>
  </w:style>
  <w:style w:type="paragraph" w:styleId="IndexHeading">
    <w:name w:val="index heading"/>
    <w:basedOn w:val="Normal"/>
    <w:next w:val="Index1"/>
    <w:uiPriority w:val="99"/>
    <w:semiHidden/>
    <w:rsid w:val="00014566"/>
    <w:rPr>
      <w:rFonts w:asciiTheme="majorHAnsi" w:eastAsiaTheme="majorEastAsia" w:hAnsiTheme="majorHAnsi" w:cstheme="majorBidi"/>
      <w:b/>
      <w:bCs/>
    </w:rPr>
  </w:style>
  <w:style w:type="table" w:styleId="LightGrid">
    <w:name w:val="Light Grid"/>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18" w:space="0" w:color="0072BC" w:themeColor="accent1"/>
          <w:right w:val="single" w:sz="8" w:space="0" w:color="0072BC" w:themeColor="accent1"/>
          <w:insideH w:val="nil"/>
          <w:insideV w:val="single" w:sz="8" w:space="0" w:color="0072B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insideH w:val="nil"/>
          <w:insideV w:val="single" w:sz="8" w:space="0" w:color="0072B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shd w:val="clear" w:color="auto" w:fill="AFDFFF" w:themeFill="accent1" w:themeFillTint="3F"/>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shd w:val="clear" w:color="auto" w:fill="AFDFFF" w:themeFill="accent1" w:themeFillTint="3F"/>
      </w:tcPr>
    </w:tblStylePr>
    <w:tblStylePr w:type="band2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insideV w:val="single" w:sz="8" w:space="0" w:color="0072BC" w:themeColor="accent1"/>
        </w:tcBorders>
      </w:tcPr>
    </w:tblStylePr>
  </w:style>
  <w:style w:type="table" w:styleId="LightGrid-Accent2">
    <w:name w:val="Light Grid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18" w:space="0" w:color="C00000" w:themeColor="accent2"/>
          <w:right w:val="single" w:sz="8" w:space="0" w:color="C00000" w:themeColor="accent2"/>
          <w:insideH w:val="nil"/>
          <w:insideV w:val="single" w:sz="8" w:space="0" w:color="C0000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insideH w:val="nil"/>
          <w:insideV w:val="single" w:sz="8" w:space="0" w:color="C0000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shd w:val="clear" w:color="auto" w:fill="FFB0B0" w:themeFill="accent2" w:themeFillTint="3F"/>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shd w:val="clear" w:color="auto" w:fill="FFB0B0" w:themeFill="accent2" w:themeFillTint="3F"/>
      </w:tcPr>
    </w:tblStylePr>
    <w:tblStylePr w:type="band2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insideV w:val="single" w:sz="8" w:space="0" w:color="C00000" w:themeColor="accent2"/>
        </w:tcBorders>
      </w:tcPr>
    </w:tblStylePr>
  </w:style>
  <w:style w:type="table" w:styleId="LightGrid-Accent3">
    <w:name w:val="Light Grid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18" w:space="0" w:color="5F5F5F" w:themeColor="accent3"/>
          <w:right w:val="single" w:sz="8" w:space="0" w:color="5F5F5F" w:themeColor="accent3"/>
          <w:insideH w:val="nil"/>
          <w:insideV w:val="single" w:sz="8" w:space="0" w:color="5F5F5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insideH w:val="nil"/>
          <w:insideV w:val="single" w:sz="8" w:space="0" w:color="5F5F5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shd w:val="clear" w:color="auto" w:fill="D7D7D7" w:themeFill="accent3" w:themeFillTint="3F"/>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shd w:val="clear" w:color="auto" w:fill="D7D7D7" w:themeFill="accent3" w:themeFillTint="3F"/>
      </w:tcPr>
    </w:tblStylePr>
    <w:tblStylePr w:type="band2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insideV w:val="single" w:sz="8" w:space="0" w:color="5F5F5F" w:themeColor="accent3"/>
        </w:tcBorders>
      </w:tcPr>
    </w:tblStylePr>
  </w:style>
  <w:style w:type="table" w:styleId="LightGrid-Accent4">
    <w:name w:val="Light Grid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18" w:space="0" w:color="969696" w:themeColor="accent4"/>
          <w:right w:val="single" w:sz="8" w:space="0" w:color="969696" w:themeColor="accent4"/>
          <w:insideH w:val="nil"/>
          <w:insideV w:val="single" w:sz="8" w:space="0" w:color="969696"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insideH w:val="nil"/>
          <w:insideV w:val="single" w:sz="8" w:space="0" w:color="969696"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shd w:val="clear" w:color="auto" w:fill="E5E5E5" w:themeFill="accent4" w:themeFillTint="3F"/>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shd w:val="clear" w:color="auto" w:fill="E5E5E5" w:themeFill="accent4" w:themeFillTint="3F"/>
      </w:tcPr>
    </w:tblStylePr>
    <w:tblStylePr w:type="band2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insideV w:val="single" w:sz="8" w:space="0" w:color="969696" w:themeColor="accent4"/>
        </w:tcBorders>
      </w:tcPr>
    </w:tblStylePr>
  </w:style>
  <w:style w:type="table" w:styleId="LightGrid-Accent5">
    <w:name w:val="Light Grid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9"/>
    <w:semiHidden/>
    <w:rsid w:val="00014566"/>
    <w:rPr>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0072BC"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rsid w:val="00014566"/>
    <w:rPr>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pPr>
        <w:spacing w:before="0" w:after="0" w:line="240" w:lineRule="auto"/>
      </w:pPr>
      <w:rPr>
        <w:b/>
        <w:bCs/>
        <w:color w:val="0072BC" w:themeColor="background1"/>
      </w:rPr>
      <w:tblPr/>
      <w:tcPr>
        <w:shd w:val="clear" w:color="auto" w:fill="0072BC" w:themeFill="accent1"/>
      </w:tcPr>
    </w:tblStylePr>
    <w:tblStylePr w:type="lastRow">
      <w:pPr>
        <w:spacing w:before="0" w:after="0" w:line="240" w:lineRule="auto"/>
      </w:pPr>
      <w:rPr>
        <w:b/>
        <w:bCs/>
      </w:rPr>
      <w:tblPr/>
      <w:tcPr>
        <w:tcBorders>
          <w:top w:val="double" w:sz="6" w:space="0" w:color="0072BC" w:themeColor="accent1"/>
          <w:left w:val="single" w:sz="8" w:space="0" w:color="0072BC" w:themeColor="accent1"/>
          <w:bottom w:val="single" w:sz="8" w:space="0" w:color="0072BC" w:themeColor="accent1"/>
          <w:right w:val="single" w:sz="8" w:space="0" w:color="0072BC" w:themeColor="accent1"/>
        </w:tcBorders>
      </w:tcPr>
    </w:tblStylePr>
    <w:tblStylePr w:type="firstCol">
      <w:rPr>
        <w:b/>
        <w:bCs/>
      </w:rPr>
    </w:tblStylePr>
    <w:tblStylePr w:type="lastCol">
      <w:rPr>
        <w:b/>
        <w:bCs/>
      </w:rPr>
    </w:tblStylePr>
    <w:tblStylePr w:type="band1Vert">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tblStylePr w:type="band1Horz">
      <w:tblPr/>
      <w:tcPr>
        <w:tcBorders>
          <w:top w:val="single" w:sz="8" w:space="0" w:color="0072BC" w:themeColor="accent1"/>
          <w:left w:val="single" w:sz="8" w:space="0" w:color="0072BC" w:themeColor="accent1"/>
          <w:bottom w:val="single" w:sz="8" w:space="0" w:color="0072BC" w:themeColor="accent1"/>
          <w:right w:val="single" w:sz="8" w:space="0" w:color="0072BC" w:themeColor="accent1"/>
        </w:tcBorders>
      </w:tcPr>
    </w:tblStylePr>
  </w:style>
  <w:style w:type="table" w:styleId="LightList-Accent2">
    <w:name w:val="Light List Accent 2"/>
    <w:basedOn w:val="TableNormal"/>
    <w:uiPriority w:val="99"/>
    <w:semiHidden/>
    <w:rsid w:val="00014566"/>
    <w:rPr>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pPr>
        <w:spacing w:before="0" w:after="0" w:line="240" w:lineRule="auto"/>
      </w:pPr>
      <w:rPr>
        <w:b/>
        <w:bCs/>
        <w:color w:val="0072BC" w:themeColor="background1"/>
      </w:rPr>
      <w:tblPr/>
      <w:tcPr>
        <w:shd w:val="clear" w:color="auto" w:fill="C00000" w:themeFill="accent2"/>
      </w:tcPr>
    </w:tblStylePr>
    <w:tblStylePr w:type="lastRow">
      <w:pPr>
        <w:spacing w:before="0" w:after="0" w:line="240" w:lineRule="auto"/>
      </w:pPr>
      <w:rPr>
        <w:b/>
        <w:bCs/>
      </w:rPr>
      <w:tblPr/>
      <w:tcPr>
        <w:tcBorders>
          <w:top w:val="double" w:sz="6" w:space="0" w:color="C00000" w:themeColor="accent2"/>
          <w:left w:val="single" w:sz="8" w:space="0" w:color="C00000" w:themeColor="accent2"/>
          <w:bottom w:val="single" w:sz="8" w:space="0" w:color="C00000" w:themeColor="accent2"/>
          <w:right w:val="single" w:sz="8" w:space="0" w:color="C00000" w:themeColor="accent2"/>
        </w:tcBorders>
      </w:tcPr>
    </w:tblStylePr>
    <w:tblStylePr w:type="firstCol">
      <w:rPr>
        <w:b/>
        <w:bCs/>
      </w:rPr>
    </w:tblStylePr>
    <w:tblStylePr w:type="lastCol">
      <w:rPr>
        <w:b/>
        <w:bCs/>
      </w:rPr>
    </w:tblStylePr>
    <w:tblStylePr w:type="band1Vert">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tblStylePr w:type="band1Horz">
      <w:tblPr/>
      <w:tcPr>
        <w:tcBorders>
          <w:top w:val="single" w:sz="8" w:space="0" w:color="C00000" w:themeColor="accent2"/>
          <w:left w:val="single" w:sz="8" w:space="0" w:color="C00000" w:themeColor="accent2"/>
          <w:bottom w:val="single" w:sz="8" w:space="0" w:color="C00000" w:themeColor="accent2"/>
          <w:right w:val="single" w:sz="8" w:space="0" w:color="C00000" w:themeColor="accent2"/>
        </w:tcBorders>
      </w:tcPr>
    </w:tblStylePr>
  </w:style>
  <w:style w:type="table" w:styleId="LightList-Accent3">
    <w:name w:val="Light List Accent 3"/>
    <w:basedOn w:val="TableNormal"/>
    <w:uiPriority w:val="99"/>
    <w:semiHidden/>
    <w:rsid w:val="00014566"/>
    <w:rPr>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pPr>
        <w:spacing w:before="0" w:after="0" w:line="240" w:lineRule="auto"/>
      </w:pPr>
      <w:rPr>
        <w:b/>
        <w:bCs/>
        <w:color w:val="0072BC" w:themeColor="background1"/>
      </w:rPr>
      <w:tblPr/>
      <w:tcPr>
        <w:shd w:val="clear" w:color="auto" w:fill="5F5F5F" w:themeFill="accent3"/>
      </w:tcPr>
    </w:tblStylePr>
    <w:tblStylePr w:type="lastRow">
      <w:pPr>
        <w:spacing w:before="0" w:after="0" w:line="240" w:lineRule="auto"/>
      </w:pPr>
      <w:rPr>
        <w:b/>
        <w:bCs/>
      </w:rPr>
      <w:tblPr/>
      <w:tcPr>
        <w:tcBorders>
          <w:top w:val="double" w:sz="6" w:space="0" w:color="5F5F5F" w:themeColor="accent3"/>
          <w:left w:val="single" w:sz="8" w:space="0" w:color="5F5F5F" w:themeColor="accent3"/>
          <w:bottom w:val="single" w:sz="8" w:space="0" w:color="5F5F5F" w:themeColor="accent3"/>
          <w:right w:val="single" w:sz="8" w:space="0" w:color="5F5F5F" w:themeColor="accent3"/>
        </w:tcBorders>
      </w:tcPr>
    </w:tblStylePr>
    <w:tblStylePr w:type="firstCol">
      <w:rPr>
        <w:b/>
        <w:bCs/>
      </w:rPr>
    </w:tblStylePr>
    <w:tblStylePr w:type="lastCol">
      <w:rPr>
        <w:b/>
        <w:bCs/>
      </w:rPr>
    </w:tblStylePr>
    <w:tblStylePr w:type="band1Vert">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tblStylePr w:type="band1Horz">
      <w:tblPr/>
      <w:tcPr>
        <w:tcBorders>
          <w:top w:val="single" w:sz="8" w:space="0" w:color="5F5F5F" w:themeColor="accent3"/>
          <w:left w:val="single" w:sz="8" w:space="0" w:color="5F5F5F" w:themeColor="accent3"/>
          <w:bottom w:val="single" w:sz="8" w:space="0" w:color="5F5F5F" w:themeColor="accent3"/>
          <w:right w:val="single" w:sz="8" w:space="0" w:color="5F5F5F" w:themeColor="accent3"/>
        </w:tcBorders>
      </w:tcPr>
    </w:tblStylePr>
  </w:style>
  <w:style w:type="table" w:styleId="LightList-Accent4">
    <w:name w:val="Light List Accent 4"/>
    <w:basedOn w:val="TableNormal"/>
    <w:uiPriority w:val="99"/>
    <w:semiHidden/>
    <w:rsid w:val="00014566"/>
    <w:rPr>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pPr>
        <w:spacing w:before="0" w:after="0" w:line="240" w:lineRule="auto"/>
      </w:pPr>
      <w:rPr>
        <w:b/>
        <w:bCs/>
        <w:color w:val="0072BC" w:themeColor="background1"/>
      </w:rPr>
      <w:tblPr/>
      <w:tcPr>
        <w:shd w:val="clear" w:color="auto" w:fill="969696" w:themeFill="accent4"/>
      </w:tcPr>
    </w:tblStylePr>
    <w:tblStylePr w:type="lastRow">
      <w:pPr>
        <w:spacing w:before="0" w:after="0" w:line="240" w:lineRule="auto"/>
      </w:pPr>
      <w:rPr>
        <w:b/>
        <w:bCs/>
      </w:rPr>
      <w:tblPr/>
      <w:tcPr>
        <w:tcBorders>
          <w:top w:val="double" w:sz="6" w:space="0" w:color="969696" w:themeColor="accent4"/>
          <w:left w:val="single" w:sz="8" w:space="0" w:color="969696" w:themeColor="accent4"/>
          <w:bottom w:val="single" w:sz="8" w:space="0" w:color="969696" w:themeColor="accent4"/>
          <w:right w:val="single" w:sz="8" w:space="0" w:color="969696" w:themeColor="accent4"/>
        </w:tcBorders>
      </w:tcPr>
    </w:tblStylePr>
    <w:tblStylePr w:type="firstCol">
      <w:rPr>
        <w:b/>
        <w:bCs/>
      </w:rPr>
    </w:tblStylePr>
    <w:tblStylePr w:type="lastCol">
      <w:rPr>
        <w:b/>
        <w:bCs/>
      </w:rPr>
    </w:tblStylePr>
    <w:tblStylePr w:type="band1Vert">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tblStylePr w:type="band1Horz">
      <w:tblPr/>
      <w:tcPr>
        <w:tcBorders>
          <w:top w:val="single" w:sz="8" w:space="0" w:color="969696" w:themeColor="accent4"/>
          <w:left w:val="single" w:sz="8" w:space="0" w:color="969696" w:themeColor="accent4"/>
          <w:bottom w:val="single" w:sz="8" w:space="0" w:color="969696" w:themeColor="accent4"/>
          <w:right w:val="single" w:sz="8" w:space="0" w:color="969696" w:themeColor="accent4"/>
        </w:tcBorders>
      </w:tcPr>
    </w:tblStylePr>
  </w:style>
  <w:style w:type="table" w:styleId="LightList-Accent5">
    <w:name w:val="Light List Accent 5"/>
    <w:basedOn w:val="TableNormal"/>
    <w:uiPriority w:val="99"/>
    <w:semiHidden/>
    <w:rsid w:val="00014566"/>
    <w:rPr>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0072BC"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9"/>
    <w:semiHidden/>
    <w:rsid w:val="00014566"/>
    <w:rPr>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0072BC"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9"/>
    <w:semiHidden/>
    <w:rsid w:val="00014566"/>
    <w:rPr>
      <w:color w:val="000000" w:themeColor="text1" w:themeShade="BF"/>
      <w:lang w:val="fr-FR" w:eastAsia="fr-F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rsid w:val="00014566"/>
    <w:rPr>
      <w:color w:val="00548C" w:themeColor="accent1" w:themeShade="BF"/>
      <w:lang w:val="fr-FR" w:eastAsia="fr-FR"/>
    </w:rPr>
    <w:tblPr>
      <w:tblStyleRowBandSize w:val="1"/>
      <w:tblStyleColBandSize w:val="1"/>
      <w:tblBorders>
        <w:top w:val="single" w:sz="8" w:space="0" w:color="0072BC" w:themeColor="accent1"/>
        <w:bottom w:val="single" w:sz="8" w:space="0" w:color="0072BC" w:themeColor="accent1"/>
      </w:tblBorders>
    </w:tblPr>
    <w:tblStylePr w:type="fir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lastRow">
      <w:pPr>
        <w:spacing w:before="0" w:after="0" w:line="240" w:lineRule="auto"/>
      </w:pPr>
      <w:rPr>
        <w:b/>
        <w:bCs/>
      </w:rPr>
      <w:tblPr/>
      <w:tcPr>
        <w:tcBorders>
          <w:top w:val="single" w:sz="8" w:space="0" w:color="0072BC" w:themeColor="accent1"/>
          <w:left w:val="nil"/>
          <w:bottom w:val="single" w:sz="8" w:space="0" w:color="0072B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left w:val="nil"/>
          <w:right w:val="nil"/>
          <w:insideH w:val="nil"/>
          <w:insideV w:val="nil"/>
        </w:tcBorders>
        <w:shd w:val="clear" w:color="auto" w:fill="AFDFFF" w:themeFill="accent1" w:themeFillTint="3F"/>
      </w:tcPr>
    </w:tblStylePr>
  </w:style>
  <w:style w:type="table" w:styleId="LightShading-Accent2">
    <w:name w:val="Light Shading Accent 2"/>
    <w:basedOn w:val="TableNormal"/>
    <w:uiPriority w:val="99"/>
    <w:semiHidden/>
    <w:rsid w:val="00014566"/>
    <w:rPr>
      <w:color w:val="8F0000" w:themeColor="accent2" w:themeShade="BF"/>
      <w:lang w:val="fr-FR" w:eastAsia="fr-FR"/>
    </w:rPr>
    <w:tblPr>
      <w:tblStyleRowBandSize w:val="1"/>
      <w:tblStyleColBandSize w:val="1"/>
      <w:tblBorders>
        <w:top w:val="single" w:sz="8" w:space="0" w:color="C00000" w:themeColor="accent2"/>
        <w:bottom w:val="single" w:sz="8" w:space="0" w:color="C00000" w:themeColor="accent2"/>
      </w:tblBorders>
    </w:tblPr>
    <w:tblStylePr w:type="fir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lastRow">
      <w:pPr>
        <w:spacing w:before="0" w:after="0" w:line="240" w:lineRule="auto"/>
      </w:pPr>
      <w:rPr>
        <w:b/>
        <w:bCs/>
      </w:rPr>
      <w:tblPr/>
      <w:tcPr>
        <w:tcBorders>
          <w:top w:val="single" w:sz="8" w:space="0" w:color="C00000" w:themeColor="accent2"/>
          <w:left w:val="nil"/>
          <w:bottom w:val="single" w:sz="8" w:space="0" w:color="C0000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left w:val="nil"/>
          <w:right w:val="nil"/>
          <w:insideH w:val="nil"/>
          <w:insideV w:val="nil"/>
        </w:tcBorders>
        <w:shd w:val="clear" w:color="auto" w:fill="FFB0B0" w:themeFill="accent2" w:themeFillTint="3F"/>
      </w:tcPr>
    </w:tblStylePr>
  </w:style>
  <w:style w:type="table" w:styleId="LightShading-Accent3">
    <w:name w:val="Light Shading Accent 3"/>
    <w:basedOn w:val="TableNormal"/>
    <w:uiPriority w:val="99"/>
    <w:semiHidden/>
    <w:rsid w:val="00014566"/>
    <w:rPr>
      <w:color w:val="474747" w:themeColor="accent3" w:themeShade="BF"/>
      <w:lang w:val="fr-FR" w:eastAsia="fr-FR"/>
    </w:rPr>
    <w:tblPr>
      <w:tblStyleRowBandSize w:val="1"/>
      <w:tblStyleColBandSize w:val="1"/>
      <w:tblBorders>
        <w:top w:val="single" w:sz="8" w:space="0" w:color="5F5F5F" w:themeColor="accent3"/>
        <w:bottom w:val="single" w:sz="8" w:space="0" w:color="5F5F5F" w:themeColor="accent3"/>
      </w:tblBorders>
    </w:tblPr>
    <w:tblStylePr w:type="fir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lastRow">
      <w:pPr>
        <w:spacing w:before="0" w:after="0" w:line="240" w:lineRule="auto"/>
      </w:pPr>
      <w:rPr>
        <w:b/>
        <w:bCs/>
      </w:rPr>
      <w:tblPr/>
      <w:tcPr>
        <w:tcBorders>
          <w:top w:val="single" w:sz="8" w:space="0" w:color="5F5F5F" w:themeColor="accent3"/>
          <w:left w:val="nil"/>
          <w:bottom w:val="single" w:sz="8" w:space="0" w:color="5F5F5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left w:val="nil"/>
          <w:right w:val="nil"/>
          <w:insideH w:val="nil"/>
          <w:insideV w:val="nil"/>
        </w:tcBorders>
        <w:shd w:val="clear" w:color="auto" w:fill="D7D7D7" w:themeFill="accent3" w:themeFillTint="3F"/>
      </w:tcPr>
    </w:tblStylePr>
  </w:style>
  <w:style w:type="table" w:styleId="LightShading-Accent4">
    <w:name w:val="Light Shading Accent 4"/>
    <w:basedOn w:val="TableNormal"/>
    <w:uiPriority w:val="99"/>
    <w:semiHidden/>
    <w:rsid w:val="00014566"/>
    <w:rPr>
      <w:color w:val="707070" w:themeColor="accent4" w:themeShade="BF"/>
      <w:lang w:val="fr-FR" w:eastAsia="fr-FR"/>
    </w:rPr>
    <w:tblPr>
      <w:tblStyleRowBandSize w:val="1"/>
      <w:tblStyleColBandSize w:val="1"/>
      <w:tblBorders>
        <w:top w:val="single" w:sz="8" w:space="0" w:color="969696" w:themeColor="accent4"/>
        <w:bottom w:val="single" w:sz="8" w:space="0" w:color="969696" w:themeColor="accent4"/>
      </w:tblBorders>
    </w:tblPr>
    <w:tblStylePr w:type="fir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lastRow">
      <w:pPr>
        <w:spacing w:before="0" w:after="0" w:line="240" w:lineRule="auto"/>
      </w:pPr>
      <w:rPr>
        <w:b/>
        <w:bCs/>
      </w:rPr>
      <w:tblPr/>
      <w:tcPr>
        <w:tcBorders>
          <w:top w:val="single" w:sz="8" w:space="0" w:color="969696" w:themeColor="accent4"/>
          <w:left w:val="nil"/>
          <w:bottom w:val="single" w:sz="8" w:space="0" w:color="969696"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left w:val="nil"/>
          <w:right w:val="nil"/>
          <w:insideH w:val="nil"/>
          <w:insideV w:val="nil"/>
        </w:tcBorders>
        <w:shd w:val="clear" w:color="auto" w:fill="E5E5E5" w:themeFill="accent4" w:themeFillTint="3F"/>
      </w:tcPr>
    </w:tblStylePr>
  </w:style>
  <w:style w:type="table" w:styleId="LightShading-Accent5">
    <w:name w:val="Light Shading Accent 5"/>
    <w:basedOn w:val="TableNormal"/>
    <w:uiPriority w:val="99"/>
    <w:semiHidden/>
    <w:rsid w:val="00014566"/>
    <w:rPr>
      <w:color w:val="474747" w:themeColor="accent5" w:themeShade="BF"/>
      <w:lang w:val="fr-FR" w:eastAsia="fr-FR"/>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9"/>
    <w:semiHidden/>
    <w:rsid w:val="00014566"/>
    <w:rPr>
      <w:color w:val="393939" w:themeColor="accent6" w:themeShade="BF"/>
      <w:lang w:val="fr-FR" w:eastAsia="fr-FR"/>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9"/>
    <w:semiHidden/>
    <w:rsid w:val="00014566"/>
  </w:style>
  <w:style w:type="paragraph" w:styleId="List">
    <w:name w:val="List"/>
    <w:basedOn w:val="Normal"/>
    <w:uiPriority w:val="99"/>
    <w:semiHidden/>
    <w:rsid w:val="00014566"/>
    <w:pPr>
      <w:ind w:left="283" w:hanging="283"/>
      <w:contextualSpacing/>
    </w:pPr>
  </w:style>
  <w:style w:type="paragraph" w:styleId="List2">
    <w:name w:val="List 2"/>
    <w:basedOn w:val="Normal"/>
    <w:uiPriority w:val="99"/>
    <w:semiHidden/>
    <w:rsid w:val="00014566"/>
    <w:pPr>
      <w:ind w:left="566" w:hanging="283"/>
      <w:contextualSpacing/>
    </w:pPr>
  </w:style>
  <w:style w:type="paragraph" w:styleId="List3">
    <w:name w:val="List 3"/>
    <w:basedOn w:val="Normal"/>
    <w:uiPriority w:val="99"/>
    <w:semiHidden/>
    <w:rsid w:val="00014566"/>
    <w:pPr>
      <w:ind w:left="849" w:hanging="283"/>
      <w:contextualSpacing/>
    </w:pPr>
  </w:style>
  <w:style w:type="paragraph" w:styleId="List4">
    <w:name w:val="List 4"/>
    <w:basedOn w:val="Normal"/>
    <w:uiPriority w:val="99"/>
    <w:semiHidden/>
    <w:rsid w:val="00014566"/>
    <w:pPr>
      <w:ind w:left="1132" w:hanging="283"/>
      <w:contextualSpacing/>
    </w:pPr>
  </w:style>
  <w:style w:type="paragraph" w:styleId="List5">
    <w:name w:val="List 5"/>
    <w:basedOn w:val="Normal"/>
    <w:uiPriority w:val="99"/>
    <w:semiHidden/>
    <w:rsid w:val="00014566"/>
    <w:pPr>
      <w:ind w:left="1415" w:hanging="283"/>
      <w:contextualSpacing/>
    </w:pPr>
  </w:style>
  <w:style w:type="paragraph" w:styleId="ListBullet2">
    <w:name w:val="List Bullet 2"/>
    <w:basedOn w:val="Normal"/>
    <w:uiPriority w:val="99"/>
    <w:semiHidden/>
    <w:rsid w:val="00014566"/>
    <w:pPr>
      <w:numPr>
        <w:numId w:val="5"/>
      </w:numPr>
      <w:contextualSpacing/>
    </w:pPr>
  </w:style>
  <w:style w:type="paragraph" w:styleId="ListBullet3">
    <w:name w:val="List Bullet 3"/>
    <w:basedOn w:val="Normal"/>
    <w:uiPriority w:val="99"/>
    <w:semiHidden/>
    <w:rsid w:val="00014566"/>
    <w:pPr>
      <w:numPr>
        <w:numId w:val="6"/>
      </w:numPr>
      <w:contextualSpacing/>
    </w:pPr>
  </w:style>
  <w:style w:type="paragraph" w:styleId="ListBullet4">
    <w:name w:val="List Bullet 4"/>
    <w:basedOn w:val="Normal"/>
    <w:uiPriority w:val="99"/>
    <w:semiHidden/>
    <w:rsid w:val="00014566"/>
    <w:pPr>
      <w:numPr>
        <w:numId w:val="7"/>
      </w:numPr>
      <w:contextualSpacing/>
    </w:pPr>
  </w:style>
  <w:style w:type="paragraph" w:styleId="ListBullet5">
    <w:name w:val="List Bullet 5"/>
    <w:basedOn w:val="Normal"/>
    <w:uiPriority w:val="99"/>
    <w:semiHidden/>
    <w:rsid w:val="00014566"/>
    <w:pPr>
      <w:numPr>
        <w:numId w:val="8"/>
      </w:numPr>
      <w:contextualSpacing/>
    </w:pPr>
  </w:style>
  <w:style w:type="paragraph" w:styleId="ListContinue">
    <w:name w:val="List Continue"/>
    <w:basedOn w:val="Normal"/>
    <w:uiPriority w:val="99"/>
    <w:semiHidden/>
    <w:rsid w:val="00014566"/>
    <w:pPr>
      <w:spacing w:after="120"/>
      <w:ind w:left="283"/>
      <w:contextualSpacing/>
    </w:pPr>
  </w:style>
  <w:style w:type="paragraph" w:styleId="ListContinue2">
    <w:name w:val="List Continue 2"/>
    <w:basedOn w:val="Normal"/>
    <w:uiPriority w:val="99"/>
    <w:semiHidden/>
    <w:rsid w:val="00014566"/>
    <w:pPr>
      <w:spacing w:after="120"/>
      <w:ind w:left="566"/>
      <w:contextualSpacing/>
    </w:pPr>
  </w:style>
  <w:style w:type="paragraph" w:styleId="ListContinue3">
    <w:name w:val="List Continue 3"/>
    <w:basedOn w:val="Normal"/>
    <w:uiPriority w:val="99"/>
    <w:semiHidden/>
    <w:rsid w:val="00014566"/>
    <w:pPr>
      <w:spacing w:after="120"/>
      <w:ind w:left="849"/>
      <w:contextualSpacing/>
    </w:pPr>
  </w:style>
  <w:style w:type="paragraph" w:styleId="ListContinue4">
    <w:name w:val="List Continue 4"/>
    <w:basedOn w:val="Normal"/>
    <w:uiPriority w:val="99"/>
    <w:semiHidden/>
    <w:rsid w:val="00014566"/>
    <w:pPr>
      <w:spacing w:after="120"/>
      <w:ind w:left="1132"/>
      <w:contextualSpacing/>
    </w:pPr>
  </w:style>
  <w:style w:type="paragraph" w:styleId="ListContinue5">
    <w:name w:val="List Continue 5"/>
    <w:basedOn w:val="Normal"/>
    <w:uiPriority w:val="99"/>
    <w:semiHidden/>
    <w:rsid w:val="00014566"/>
    <w:pPr>
      <w:spacing w:after="120"/>
      <w:ind w:left="1415"/>
      <w:contextualSpacing/>
    </w:pPr>
  </w:style>
  <w:style w:type="paragraph" w:styleId="ListNumber">
    <w:name w:val="List Number"/>
    <w:basedOn w:val="Normal"/>
    <w:uiPriority w:val="99"/>
    <w:semiHidden/>
    <w:rsid w:val="00014566"/>
    <w:pPr>
      <w:numPr>
        <w:numId w:val="9"/>
      </w:numPr>
      <w:contextualSpacing/>
    </w:pPr>
  </w:style>
  <w:style w:type="paragraph" w:styleId="ListNumber2">
    <w:name w:val="List Number 2"/>
    <w:basedOn w:val="Normal"/>
    <w:uiPriority w:val="99"/>
    <w:semiHidden/>
    <w:rsid w:val="00014566"/>
    <w:pPr>
      <w:numPr>
        <w:numId w:val="10"/>
      </w:numPr>
      <w:contextualSpacing/>
    </w:pPr>
  </w:style>
  <w:style w:type="paragraph" w:styleId="ListNumber3">
    <w:name w:val="List Number 3"/>
    <w:basedOn w:val="Normal"/>
    <w:uiPriority w:val="99"/>
    <w:semiHidden/>
    <w:rsid w:val="00014566"/>
    <w:pPr>
      <w:numPr>
        <w:numId w:val="11"/>
      </w:numPr>
      <w:contextualSpacing/>
    </w:pPr>
  </w:style>
  <w:style w:type="paragraph" w:styleId="ListNumber4">
    <w:name w:val="List Number 4"/>
    <w:basedOn w:val="Normal"/>
    <w:uiPriority w:val="99"/>
    <w:semiHidden/>
    <w:rsid w:val="00014566"/>
    <w:pPr>
      <w:numPr>
        <w:numId w:val="12"/>
      </w:numPr>
      <w:contextualSpacing/>
    </w:pPr>
  </w:style>
  <w:style w:type="paragraph" w:styleId="ListNumber5">
    <w:name w:val="List Number 5"/>
    <w:basedOn w:val="Normal"/>
    <w:uiPriority w:val="99"/>
    <w:semiHidden/>
    <w:rsid w:val="00014566"/>
    <w:pPr>
      <w:numPr>
        <w:numId w:val="13"/>
      </w:numPr>
      <w:contextualSpacing/>
    </w:pPr>
  </w:style>
  <w:style w:type="paragraph" w:styleId="MacroText">
    <w:name w:val="macro"/>
    <w:link w:val="MacroTextChar"/>
    <w:uiPriority w:val="99"/>
    <w:semiHidden/>
    <w:rsid w:val="00014566"/>
    <w:pPr>
      <w:tabs>
        <w:tab w:val="left" w:pos="480"/>
        <w:tab w:val="left" w:pos="960"/>
        <w:tab w:val="left" w:pos="1440"/>
        <w:tab w:val="left" w:pos="1920"/>
        <w:tab w:val="left" w:pos="2400"/>
        <w:tab w:val="left" w:pos="2880"/>
        <w:tab w:val="left" w:pos="3360"/>
        <w:tab w:val="left" w:pos="3840"/>
        <w:tab w:val="left" w:pos="4320"/>
      </w:tabs>
      <w:suppressAutoHyphens/>
    </w:pPr>
    <w:rPr>
      <w:rFonts w:ascii="Consolas" w:hAnsi="Consolas" w:cs="Consolas"/>
      <w:sz w:val="20"/>
      <w:szCs w:val="20"/>
      <w:lang w:val="en-GB" w:eastAsia="fr-FR"/>
    </w:rPr>
  </w:style>
  <w:style w:type="character" w:customStyle="1" w:styleId="MacroTextChar">
    <w:name w:val="Macro Text Char"/>
    <w:basedOn w:val="DefaultParagraphFont"/>
    <w:link w:val="MacroText"/>
    <w:uiPriority w:val="99"/>
    <w:semiHidden/>
    <w:rsid w:val="00014566"/>
    <w:rPr>
      <w:rFonts w:ascii="Consolas" w:hAnsi="Consolas" w:cs="Consolas"/>
      <w:sz w:val="20"/>
      <w:szCs w:val="20"/>
      <w:lang w:val="en-GB" w:eastAsia="fr-FR"/>
    </w:rPr>
  </w:style>
  <w:style w:type="table" w:styleId="MediumGrid1">
    <w:name w:val="Medium Grid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insideV w:val="single" w:sz="8" w:space="0" w:color="0D9FFF" w:themeColor="accent1" w:themeTint="BF"/>
      </w:tblBorders>
    </w:tblPr>
    <w:tcPr>
      <w:shd w:val="clear" w:color="auto" w:fill="AFDFFF" w:themeFill="accent1" w:themeFillTint="3F"/>
    </w:tcPr>
    <w:tblStylePr w:type="firstRow">
      <w:rPr>
        <w:b/>
        <w:bCs/>
      </w:rPr>
    </w:tblStylePr>
    <w:tblStylePr w:type="lastRow">
      <w:rPr>
        <w:b/>
        <w:bCs/>
      </w:rPr>
      <w:tblPr/>
      <w:tcPr>
        <w:tcBorders>
          <w:top w:val="single" w:sz="18" w:space="0" w:color="0D9FFF" w:themeColor="accent1" w:themeTint="BF"/>
        </w:tcBorders>
      </w:tcPr>
    </w:tblStylePr>
    <w:tblStylePr w:type="firstCol">
      <w:rPr>
        <w:b/>
        <w:bCs/>
      </w:rPr>
    </w:tblStylePr>
    <w:tblStylePr w:type="lastCol">
      <w:rPr>
        <w:b/>
        <w:bCs/>
      </w:rPr>
    </w:tblStylePr>
    <w:tblStylePr w:type="band1Vert">
      <w:tblPr/>
      <w:tcPr>
        <w:shd w:val="clear" w:color="auto" w:fill="5EBFFF" w:themeFill="accent1" w:themeFillTint="7F"/>
      </w:tcPr>
    </w:tblStylePr>
    <w:tblStylePr w:type="band1Horz">
      <w:tblPr/>
      <w:tcPr>
        <w:shd w:val="clear" w:color="auto" w:fill="5EBFFF" w:themeFill="accent1" w:themeFillTint="7F"/>
      </w:tcPr>
    </w:tblStylePr>
  </w:style>
  <w:style w:type="table" w:styleId="MediumGrid1-Accent2">
    <w:name w:val="Medium Grid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insideV w:val="single" w:sz="8" w:space="0" w:color="FF1010" w:themeColor="accent2" w:themeTint="BF"/>
      </w:tblBorders>
    </w:tblPr>
    <w:tcPr>
      <w:shd w:val="clear" w:color="auto" w:fill="FFB0B0" w:themeFill="accent2" w:themeFillTint="3F"/>
    </w:tcPr>
    <w:tblStylePr w:type="firstRow">
      <w:rPr>
        <w:b/>
        <w:bCs/>
      </w:rPr>
    </w:tblStylePr>
    <w:tblStylePr w:type="lastRow">
      <w:rPr>
        <w:b/>
        <w:bCs/>
      </w:rPr>
      <w:tblPr/>
      <w:tcPr>
        <w:tcBorders>
          <w:top w:val="single" w:sz="18" w:space="0" w:color="FF1010" w:themeColor="accent2" w:themeTint="BF"/>
        </w:tcBorders>
      </w:tcPr>
    </w:tblStylePr>
    <w:tblStylePr w:type="firstCol">
      <w:rPr>
        <w:b/>
        <w:bCs/>
      </w:rPr>
    </w:tblStylePr>
    <w:tblStylePr w:type="lastCol">
      <w:rPr>
        <w:b/>
        <w:bCs/>
      </w:rPr>
    </w:tblStylePr>
    <w:tblStylePr w:type="band1Vert">
      <w:tblPr/>
      <w:tcPr>
        <w:shd w:val="clear" w:color="auto" w:fill="FF6060" w:themeFill="accent2" w:themeFillTint="7F"/>
      </w:tcPr>
    </w:tblStylePr>
    <w:tblStylePr w:type="band1Horz">
      <w:tblPr/>
      <w:tcPr>
        <w:shd w:val="clear" w:color="auto" w:fill="FF6060" w:themeFill="accent2" w:themeFillTint="7F"/>
      </w:tcPr>
    </w:tblStylePr>
  </w:style>
  <w:style w:type="table" w:styleId="MediumGrid1-Accent3">
    <w:name w:val="Medium Grid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insideV w:val="single" w:sz="8" w:space="0" w:color="878787" w:themeColor="accent3" w:themeTint="BF"/>
      </w:tblBorders>
    </w:tblPr>
    <w:tcPr>
      <w:shd w:val="clear" w:color="auto" w:fill="D7D7D7" w:themeFill="accent3" w:themeFillTint="3F"/>
    </w:tcPr>
    <w:tblStylePr w:type="firstRow">
      <w:rPr>
        <w:b/>
        <w:bCs/>
      </w:rPr>
    </w:tblStylePr>
    <w:tblStylePr w:type="lastRow">
      <w:rPr>
        <w:b/>
        <w:bCs/>
      </w:rPr>
      <w:tblPr/>
      <w:tcPr>
        <w:tcBorders>
          <w:top w:val="single" w:sz="18" w:space="0" w:color="878787" w:themeColor="accent3" w:themeTint="BF"/>
        </w:tcBorders>
      </w:tcPr>
    </w:tblStylePr>
    <w:tblStylePr w:type="firstCol">
      <w:rPr>
        <w:b/>
        <w:bCs/>
      </w:rPr>
    </w:tblStylePr>
    <w:tblStylePr w:type="lastCol">
      <w:rPr>
        <w:b/>
        <w:bCs/>
      </w:rPr>
    </w:tblStylePr>
    <w:tblStylePr w:type="band1Vert">
      <w:tblPr/>
      <w:tcPr>
        <w:shd w:val="clear" w:color="auto" w:fill="AFAFAF" w:themeFill="accent3" w:themeFillTint="7F"/>
      </w:tcPr>
    </w:tblStylePr>
    <w:tblStylePr w:type="band1Horz">
      <w:tblPr/>
      <w:tcPr>
        <w:shd w:val="clear" w:color="auto" w:fill="AFAFAF" w:themeFill="accent3" w:themeFillTint="7F"/>
      </w:tcPr>
    </w:tblStylePr>
  </w:style>
  <w:style w:type="table" w:styleId="MediumGrid1-Accent4">
    <w:name w:val="Medium Grid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insideV w:val="single" w:sz="8" w:space="0" w:color="B0B0B0" w:themeColor="accent4" w:themeTint="BF"/>
      </w:tblBorders>
    </w:tblPr>
    <w:tcPr>
      <w:shd w:val="clear" w:color="auto" w:fill="E5E5E5" w:themeFill="accent4" w:themeFillTint="3F"/>
    </w:tcPr>
    <w:tblStylePr w:type="firstRow">
      <w:rPr>
        <w:b/>
        <w:bCs/>
      </w:rPr>
    </w:tblStylePr>
    <w:tblStylePr w:type="lastRow">
      <w:rPr>
        <w:b/>
        <w:bCs/>
      </w:rPr>
      <w:tblPr/>
      <w:tcPr>
        <w:tcBorders>
          <w:top w:val="single" w:sz="18" w:space="0" w:color="B0B0B0" w:themeColor="accent4" w:themeTint="BF"/>
        </w:tcBorders>
      </w:tcPr>
    </w:tblStylePr>
    <w:tblStylePr w:type="firstCol">
      <w:rPr>
        <w:b/>
        <w:bCs/>
      </w:rPr>
    </w:tblStylePr>
    <w:tblStylePr w:type="lastCol">
      <w:rPr>
        <w:b/>
        <w:bCs/>
      </w:rPr>
    </w:tblStylePr>
    <w:tblStylePr w:type="band1Vert">
      <w:tblPr/>
      <w:tcPr>
        <w:shd w:val="clear" w:color="auto" w:fill="CACACA" w:themeFill="accent4" w:themeFillTint="7F"/>
      </w:tcPr>
    </w:tblStylePr>
    <w:tblStylePr w:type="band1Horz">
      <w:tblPr/>
      <w:tcPr>
        <w:shd w:val="clear" w:color="auto" w:fill="CACACA" w:themeFill="accent4" w:themeFillTint="7F"/>
      </w:tcPr>
    </w:tblStylePr>
  </w:style>
  <w:style w:type="table" w:styleId="MediumGrid1-Accent5">
    <w:name w:val="Medium Grid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0072BC" w:themeFill="background1"/>
      </w:tcPr>
    </w:tblStylePr>
  </w:style>
  <w:style w:type="table" w:styleId="MediumGrid2-Accent1">
    <w:name w:val="Medium Grid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insideH w:val="single" w:sz="8" w:space="0" w:color="0072BC" w:themeColor="accent1"/>
        <w:insideV w:val="single" w:sz="8" w:space="0" w:color="0072BC" w:themeColor="accent1"/>
      </w:tblBorders>
    </w:tblPr>
    <w:tcPr>
      <w:shd w:val="clear" w:color="auto" w:fill="AFDFFF" w:themeFill="accent1" w:themeFillTint="3F"/>
    </w:tcPr>
    <w:tblStylePr w:type="firstRow">
      <w:rPr>
        <w:b/>
        <w:bCs/>
        <w:color w:val="000000" w:themeColor="text1"/>
      </w:rPr>
      <w:tblPr/>
      <w:tcPr>
        <w:shd w:val="clear" w:color="auto" w:fill="DFF2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EE5FF" w:themeFill="accent1" w:themeFillTint="33"/>
      </w:tcPr>
    </w:tblStylePr>
    <w:tblStylePr w:type="band1Vert">
      <w:tblPr/>
      <w:tcPr>
        <w:shd w:val="clear" w:color="auto" w:fill="5EBFFF" w:themeFill="accent1" w:themeFillTint="7F"/>
      </w:tcPr>
    </w:tblStylePr>
    <w:tblStylePr w:type="band1Horz">
      <w:tblPr/>
      <w:tcPr>
        <w:tcBorders>
          <w:insideH w:val="single" w:sz="6" w:space="0" w:color="0072BC" w:themeColor="accent1"/>
          <w:insideV w:val="single" w:sz="6" w:space="0" w:color="0072BC" w:themeColor="accent1"/>
        </w:tcBorders>
        <w:shd w:val="clear" w:color="auto" w:fill="5EBFFF" w:themeFill="accent1" w:themeFillTint="7F"/>
      </w:tcPr>
    </w:tblStylePr>
    <w:tblStylePr w:type="nwCell">
      <w:tblPr/>
      <w:tcPr>
        <w:shd w:val="clear" w:color="auto" w:fill="0072BC" w:themeFill="background1"/>
      </w:tcPr>
    </w:tblStylePr>
  </w:style>
  <w:style w:type="table" w:styleId="MediumGrid2-Accent2">
    <w:name w:val="Medium Grid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insideH w:val="single" w:sz="8" w:space="0" w:color="C00000" w:themeColor="accent2"/>
        <w:insideV w:val="single" w:sz="8" w:space="0" w:color="C00000" w:themeColor="accent2"/>
      </w:tblBorders>
    </w:tblPr>
    <w:tcPr>
      <w:shd w:val="clear" w:color="auto" w:fill="FFB0B0" w:themeFill="accent2" w:themeFillTint="3F"/>
    </w:tcPr>
    <w:tblStylePr w:type="firstRow">
      <w:rPr>
        <w:b/>
        <w:bCs/>
        <w:color w:val="000000" w:themeColor="text1"/>
      </w:rPr>
      <w:tblPr/>
      <w:tcPr>
        <w:shd w:val="clear" w:color="auto" w:fill="FFDFDF"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BFBF" w:themeFill="accent2" w:themeFillTint="33"/>
      </w:tcPr>
    </w:tblStylePr>
    <w:tblStylePr w:type="band1Vert">
      <w:tblPr/>
      <w:tcPr>
        <w:shd w:val="clear" w:color="auto" w:fill="FF6060" w:themeFill="accent2" w:themeFillTint="7F"/>
      </w:tcPr>
    </w:tblStylePr>
    <w:tblStylePr w:type="band1Horz">
      <w:tblPr/>
      <w:tcPr>
        <w:tcBorders>
          <w:insideH w:val="single" w:sz="6" w:space="0" w:color="C00000" w:themeColor="accent2"/>
          <w:insideV w:val="single" w:sz="6" w:space="0" w:color="C00000" w:themeColor="accent2"/>
        </w:tcBorders>
        <w:shd w:val="clear" w:color="auto" w:fill="FF6060" w:themeFill="accent2" w:themeFillTint="7F"/>
      </w:tcPr>
    </w:tblStylePr>
    <w:tblStylePr w:type="nwCell">
      <w:tblPr/>
      <w:tcPr>
        <w:shd w:val="clear" w:color="auto" w:fill="0072BC" w:themeFill="background1"/>
      </w:tcPr>
    </w:tblStylePr>
  </w:style>
  <w:style w:type="table" w:styleId="MediumGrid2-Accent3">
    <w:name w:val="Medium Grid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insideH w:val="single" w:sz="8" w:space="0" w:color="5F5F5F" w:themeColor="accent3"/>
        <w:insideV w:val="single" w:sz="8" w:space="0" w:color="5F5F5F" w:themeColor="accent3"/>
      </w:tblBorders>
    </w:tblPr>
    <w:tcPr>
      <w:shd w:val="clear" w:color="auto" w:fill="D7D7D7" w:themeFill="accent3" w:themeFillTint="3F"/>
    </w:tcPr>
    <w:tblStylePr w:type="firstRow">
      <w:rPr>
        <w:b/>
        <w:bCs/>
        <w:color w:val="000000" w:themeColor="text1"/>
      </w:rPr>
      <w:tblPr/>
      <w:tcPr>
        <w:shd w:val="clear" w:color="auto" w:fill="EFEFE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3" w:themeFillTint="33"/>
      </w:tcPr>
    </w:tblStylePr>
    <w:tblStylePr w:type="band1Vert">
      <w:tblPr/>
      <w:tcPr>
        <w:shd w:val="clear" w:color="auto" w:fill="AFAFAF" w:themeFill="accent3" w:themeFillTint="7F"/>
      </w:tcPr>
    </w:tblStylePr>
    <w:tblStylePr w:type="band1Horz">
      <w:tblPr/>
      <w:tcPr>
        <w:tcBorders>
          <w:insideH w:val="single" w:sz="6" w:space="0" w:color="5F5F5F" w:themeColor="accent3"/>
          <w:insideV w:val="single" w:sz="6" w:space="0" w:color="5F5F5F" w:themeColor="accent3"/>
        </w:tcBorders>
        <w:shd w:val="clear" w:color="auto" w:fill="AFAFAF" w:themeFill="accent3" w:themeFillTint="7F"/>
      </w:tcPr>
    </w:tblStylePr>
    <w:tblStylePr w:type="nwCell">
      <w:tblPr/>
      <w:tcPr>
        <w:shd w:val="clear" w:color="auto" w:fill="0072BC" w:themeFill="background1"/>
      </w:tcPr>
    </w:tblStylePr>
  </w:style>
  <w:style w:type="table" w:styleId="MediumGrid2-Accent4">
    <w:name w:val="Medium Grid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insideH w:val="single" w:sz="8" w:space="0" w:color="969696" w:themeColor="accent4"/>
        <w:insideV w:val="single" w:sz="8" w:space="0" w:color="969696" w:themeColor="accent4"/>
      </w:tblBorders>
    </w:tblPr>
    <w:tcPr>
      <w:shd w:val="clear" w:color="auto" w:fill="E5E5E5" w:themeFill="accent4" w:themeFillTint="3F"/>
    </w:tcPr>
    <w:tblStylePr w:type="firstRow">
      <w:rPr>
        <w:b/>
        <w:bCs/>
        <w:color w:val="000000" w:themeColor="text1"/>
      </w:rPr>
      <w:tblPr/>
      <w:tcPr>
        <w:shd w:val="clear" w:color="auto" w:fill="F4F4F4"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4" w:themeFillTint="33"/>
      </w:tcPr>
    </w:tblStylePr>
    <w:tblStylePr w:type="band1Vert">
      <w:tblPr/>
      <w:tcPr>
        <w:shd w:val="clear" w:color="auto" w:fill="CACACA" w:themeFill="accent4" w:themeFillTint="7F"/>
      </w:tcPr>
    </w:tblStylePr>
    <w:tblStylePr w:type="band1Horz">
      <w:tblPr/>
      <w:tcPr>
        <w:tcBorders>
          <w:insideH w:val="single" w:sz="6" w:space="0" w:color="969696" w:themeColor="accent4"/>
          <w:insideV w:val="single" w:sz="6" w:space="0" w:color="969696" w:themeColor="accent4"/>
        </w:tcBorders>
        <w:shd w:val="clear" w:color="auto" w:fill="CACACA" w:themeFill="accent4" w:themeFillTint="7F"/>
      </w:tcPr>
    </w:tblStylePr>
    <w:tblStylePr w:type="nwCell">
      <w:tblPr/>
      <w:tcPr>
        <w:shd w:val="clear" w:color="auto" w:fill="0072BC" w:themeFill="background1"/>
      </w:tcPr>
    </w:tblStylePr>
  </w:style>
  <w:style w:type="table" w:styleId="MediumGrid2-Accent5">
    <w:name w:val="Medium Grid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0072BC" w:themeFill="background1"/>
      </w:tcPr>
    </w:tblStylePr>
  </w:style>
  <w:style w:type="table" w:styleId="MediumGrid2-Accent6">
    <w:name w:val="Medium Grid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0072BC" w:themeFill="background1"/>
      </w:tcPr>
    </w:tblStylePr>
    <w:tblStylePr w:type="firstCol">
      <w:rPr>
        <w:b/>
        <w:bCs/>
        <w:color w:val="000000" w:themeColor="text1"/>
      </w:rPr>
      <w:tblPr/>
      <w:tcPr>
        <w:tcBorders>
          <w:top w:val="nil"/>
          <w:left w:val="nil"/>
          <w:bottom w:val="nil"/>
          <w:right w:val="nil"/>
          <w:insideH w:val="nil"/>
          <w:insideV w:val="nil"/>
        </w:tcBorders>
        <w:shd w:val="clear" w:color="auto" w:fill="0072BC"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0072BC" w:themeFill="background1"/>
      </w:tcPr>
    </w:tblStylePr>
  </w:style>
  <w:style w:type="table" w:styleId="MediumGrid3">
    <w:name w:val="Medium Grid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C0C0C0" w:themeFill="tex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0000" w:themeFill="tex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0000" w:themeFill="tex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0000" w:themeFill="tex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808080" w:themeFill="tex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808080" w:themeFill="text1" w:themeFillTint="7F"/>
      </w:tcPr>
    </w:tblStylePr>
  </w:style>
  <w:style w:type="table" w:styleId="MediumGrid3-Accent1">
    <w:name w:val="Medium Grid 3 Accent 1"/>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AFDFFF" w:themeFill="accent1"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0072BC" w:themeFill="accent1"/>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0072BC" w:themeFill="accent1"/>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0072BC" w:themeFill="accent1"/>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5EBFFF" w:themeFill="accent1"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5EBFFF" w:themeFill="accent1" w:themeFillTint="7F"/>
      </w:tcPr>
    </w:tblStylePr>
  </w:style>
  <w:style w:type="table" w:styleId="MediumGrid3-Accent2">
    <w:name w:val="Medium Grid 3 Accent 2"/>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FFB0B0" w:themeFill="accent2"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C00000" w:themeFill="accent2"/>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C00000" w:themeFill="accent2"/>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C00000" w:themeFill="accent2"/>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FF6060" w:themeFill="accent2"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FF6060" w:themeFill="accent2" w:themeFillTint="7F"/>
      </w:tcPr>
    </w:tblStylePr>
  </w:style>
  <w:style w:type="table" w:styleId="MediumGrid3-Accent3">
    <w:name w:val="Medium Grid 3 Accent 3"/>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3"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3"/>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3"/>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3"/>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3"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3" w:themeFillTint="7F"/>
      </w:tcPr>
    </w:tblStylePr>
  </w:style>
  <w:style w:type="table" w:styleId="MediumGrid3-Accent4">
    <w:name w:val="Medium Grid 3 Accent 4"/>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E5E5E5" w:themeFill="accent4"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969696" w:themeFill="accent4"/>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969696" w:themeFill="accent4"/>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969696" w:themeFill="accent4"/>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CACACA" w:themeFill="accent4"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CACACA" w:themeFill="accent4" w:themeFillTint="7F"/>
      </w:tcPr>
    </w:tblStylePr>
  </w:style>
  <w:style w:type="table" w:styleId="MediumGrid3-Accent5">
    <w:name w:val="Medium Grid 3 Accent 5"/>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7D7D7" w:themeFill="accent5"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5F5F5F" w:themeFill="accent5"/>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5F5F5F" w:themeFill="accent5"/>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5F5F5F" w:themeFill="accent5"/>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FAFAF" w:themeFill="accent5"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FAFAF" w:themeFill="accent5" w:themeFillTint="7F"/>
      </w:tcPr>
    </w:tblStylePr>
  </w:style>
  <w:style w:type="table" w:styleId="MediumGrid3-Accent6">
    <w:name w:val="Medium Grid 3 Accent 6"/>
    <w:basedOn w:val="TableNormal"/>
    <w:uiPriority w:val="99"/>
    <w:semiHidden/>
    <w:rsid w:val="00014566"/>
    <w:rPr>
      <w:lang w:val="fr-FR" w:eastAsia="fr-FR"/>
    </w:rPr>
    <w:tblPr>
      <w:tblStyleRowBandSize w:val="1"/>
      <w:tblStyleColBandSize w:val="1"/>
      <w:tbl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6" w:space="0" w:color="0072BC" w:themeColor="background1"/>
        <w:insideV w:val="single" w:sz="6" w:space="0" w:color="0072BC" w:themeColor="background1"/>
      </w:tblBorders>
    </w:tblPr>
    <w:tcPr>
      <w:shd w:val="clear" w:color="auto" w:fill="D3D3D3" w:themeFill="accent6" w:themeFillTint="3F"/>
    </w:tcPr>
    <w:tblStylePr w:type="firstRow">
      <w:rPr>
        <w:b/>
        <w:bCs/>
        <w:i w:val="0"/>
        <w:iCs w:val="0"/>
        <w:color w:val="0072BC" w:themeColor="background1"/>
      </w:rPr>
      <w:tblPr/>
      <w:tcPr>
        <w:tcBorders>
          <w:top w:val="single" w:sz="8" w:space="0" w:color="0072BC" w:themeColor="background1"/>
          <w:left w:val="single" w:sz="8" w:space="0" w:color="0072BC" w:themeColor="background1"/>
          <w:bottom w:val="single" w:sz="24"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lastRow">
      <w:rPr>
        <w:b/>
        <w:bCs/>
        <w:i w:val="0"/>
        <w:iCs w:val="0"/>
        <w:color w:val="0072BC" w:themeColor="background1"/>
      </w:rPr>
      <w:tblPr/>
      <w:tcPr>
        <w:tcBorders>
          <w:top w:val="single" w:sz="24" w:space="0" w:color="0072BC" w:themeColor="background1"/>
          <w:left w:val="single" w:sz="8" w:space="0" w:color="0072BC" w:themeColor="background1"/>
          <w:bottom w:val="single" w:sz="8" w:space="0" w:color="0072BC" w:themeColor="background1"/>
          <w:right w:val="single" w:sz="8" w:space="0" w:color="0072BC" w:themeColor="background1"/>
          <w:insideH w:val="nil"/>
          <w:insideV w:val="single" w:sz="8" w:space="0" w:color="0072BC" w:themeColor="background1"/>
        </w:tcBorders>
        <w:shd w:val="clear" w:color="auto" w:fill="4D4D4D" w:themeFill="accent6"/>
      </w:tcPr>
    </w:tblStylePr>
    <w:tblStylePr w:type="firstCol">
      <w:rPr>
        <w:b/>
        <w:bCs/>
        <w:i w:val="0"/>
        <w:iCs w:val="0"/>
        <w:color w:val="0072BC" w:themeColor="background1"/>
      </w:rPr>
      <w:tblPr/>
      <w:tcPr>
        <w:tcBorders>
          <w:left w:val="single" w:sz="8" w:space="0" w:color="0072BC" w:themeColor="background1"/>
          <w:right w:val="single" w:sz="24" w:space="0" w:color="0072BC" w:themeColor="background1"/>
          <w:insideH w:val="nil"/>
          <w:insideV w:val="nil"/>
        </w:tcBorders>
        <w:shd w:val="clear" w:color="auto" w:fill="4D4D4D" w:themeFill="accent6"/>
      </w:tcPr>
    </w:tblStylePr>
    <w:tblStylePr w:type="lastCol">
      <w:rPr>
        <w:b/>
        <w:bCs/>
        <w:i w:val="0"/>
        <w:iCs w:val="0"/>
        <w:color w:val="0072BC" w:themeColor="background1"/>
      </w:rPr>
      <w:tblPr/>
      <w:tcPr>
        <w:tcBorders>
          <w:top w:val="nil"/>
          <w:left w:val="single" w:sz="24" w:space="0" w:color="0072BC" w:themeColor="background1"/>
          <w:bottom w:val="nil"/>
          <w:right w:val="nil"/>
          <w:insideH w:val="nil"/>
          <w:insideV w:val="nil"/>
        </w:tcBorders>
        <w:shd w:val="clear" w:color="auto" w:fill="4D4D4D" w:themeFill="accent6"/>
      </w:tcPr>
    </w:tblStylePr>
    <w:tblStylePr w:type="band1Vert">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nil"/>
          <w:insideV w:val="nil"/>
        </w:tcBorders>
        <w:shd w:val="clear" w:color="auto" w:fill="A6A6A6" w:themeFill="accent6" w:themeFillTint="7F"/>
      </w:tcPr>
    </w:tblStylePr>
    <w:tblStylePr w:type="band1Horz">
      <w:tblPr/>
      <w:tcPr>
        <w:tcBorders>
          <w:top w:val="single" w:sz="8" w:space="0" w:color="0072BC" w:themeColor="background1"/>
          <w:left w:val="single" w:sz="8" w:space="0" w:color="0072BC" w:themeColor="background1"/>
          <w:bottom w:val="single" w:sz="8" w:space="0" w:color="0072BC" w:themeColor="background1"/>
          <w:right w:val="single" w:sz="8" w:space="0" w:color="0072BC" w:themeColor="background1"/>
          <w:insideH w:val="single" w:sz="8" w:space="0" w:color="0072BC" w:themeColor="background1"/>
          <w:insideV w:val="single" w:sz="8" w:space="0" w:color="0072BC" w:themeColor="background1"/>
        </w:tcBorders>
        <w:shd w:val="clear" w:color="auto" w:fill="A6A6A6" w:themeFill="accent6" w:themeFillTint="7F"/>
      </w:tcPr>
    </w:tblStylePr>
  </w:style>
  <w:style w:type="table" w:styleId="MediumList1">
    <w:name w:val="Medium List 1"/>
    <w:basedOn w:val="TableNormal"/>
    <w:uiPriority w:val="99"/>
    <w:semiHidden/>
    <w:rsid w:val="00014566"/>
    <w:rPr>
      <w:color w:val="000000" w:themeColor="text1"/>
      <w:lang w:val="fr-FR" w:eastAsia="fr-FR"/>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C6C6C6"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rsid w:val="00014566"/>
    <w:rPr>
      <w:color w:val="000000" w:themeColor="text1"/>
      <w:lang w:val="fr-FR" w:eastAsia="fr-FR"/>
    </w:rPr>
    <w:tblPr>
      <w:tblStyleRowBandSize w:val="1"/>
      <w:tblStyleColBandSize w:val="1"/>
      <w:tblBorders>
        <w:top w:val="single" w:sz="8" w:space="0" w:color="0072BC" w:themeColor="accent1"/>
        <w:bottom w:val="single" w:sz="8" w:space="0" w:color="0072BC" w:themeColor="accent1"/>
      </w:tblBorders>
    </w:tblPr>
    <w:tblStylePr w:type="firstRow">
      <w:rPr>
        <w:rFonts w:asciiTheme="majorHAnsi" w:eastAsiaTheme="majorEastAsia" w:hAnsiTheme="majorHAnsi" w:cstheme="majorBidi"/>
      </w:rPr>
      <w:tblPr/>
      <w:tcPr>
        <w:tcBorders>
          <w:top w:val="nil"/>
          <w:bottom w:val="single" w:sz="8" w:space="0" w:color="0072BC" w:themeColor="accent1"/>
        </w:tcBorders>
      </w:tcPr>
    </w:tblStylePr>
    <w:tblStylePr w:type="lastRow">
      <w:rPr>
        <w:b/>
        <w:bCs/>
        <w:color w:val="C6C6C6" w:themeColor="text2"/>
      </w:rPr>
      <w:tblPr/>
      <w:tcPr>
        <w:tcBorders>
          <w:top w:val="single" w:sz="8" w:space="0" w:color="0072BC" w:themeColor="accent1"/>
          <w:bottom w:val="single" w:sz="8" w:space="0" w:color="0072BC" w:themeColor="accent1"/>
        </w:tcBorders>
      </w:tcPr>
    </w:tblStylePr>
    <w:tblStylePr w:type="firstCol">
      <w:rPr>
        <w:b/>
        <w:bCs/>
      </w:rPr>
    </w:tblStylePr>
    <w:tblStylePr w:type="lastCol">
      <w:rPr>
        <w:b/>
        <w:bCs/>
      </w:rPr>
      <w:tblPr/>
      <w:tcPr>
        <w:tcBorders>
          <w:top w:val="single" w:sz="8" w:space="0" w:color="0072BC" w:themeColor="accent1"/>
          <w:bottom w:val="single" w:sz="8" w:space="0" w:color="0072BC" w:themeColor="accent1"/>
        </w:tcBorders>
      </w:tcPr>
    </w:tblStylePr>
    <w:tblStylePr w:type="band1Vert">
      <w:tblPr/>
      <w:tcPr>
        <w:shd w:val="clear" w:color="auto" w:fill="AFDFFF" w:themeFill="accent1" w:themeFillTint="3F"/>
      </w:tcPr>
    </w:tblStylePr>
    <w:tblStylePr w:type="band1Horz">
      <w:tblPr/>
      <w:tcPr>
        <w:shd w:val="clear" w:color="auto" w:fill="AFDFFF" w:themeFill="accent1" w:themeFillTint="3F"/>
      </w:tcPr>
    </w:tblStylePr>
  </w:style>
  <w:style w:type="table" w:styleId="MediumList1-Accent2">
    <w:name w:val="Medium List 1 Accent 2"/>
    <w:basedOn w:val="TableNormal"/>
    <w:uiPriority w:val="99"/>
    <w:semiHidden/>
    <w:rsid w:val="00014566"/>
    <w:rPr>
      <w:color w:val="000000" w:themeColor="text1"/>
      <w:lang w:val="fr-FR" w:eastAsia="fr-FR"/>
    </w:rPr>
    <w:tblPr>
      <w:tblStyleRowBandSize w:val="1"/>
      <w:tblStyleColBandSize w:val="1"/>
      <w:tblBorders>
        <w:top w:val="single" w:sz="8" w:space="0" w:color="C00000" w:themeColor="accent2"/>
        <w:bottom w:val="single" w:sz="8" w:space="0" w:color="C00000" w:themeColor="accent2"/>
      </w:tblBorders>
    </w:tblPr>
    <w:tblStylePr w:type="firstRow">
      <w:rPr>
        <w:rFonts w:asciiTheme="majorHAnsi" w:eastAsiaTheme="majorEastAsia" w:hAnsiTheme="majorHAnsi" w:cstheme="majorBidi"/>
      </w:rPr>
      <w:tblPr/>
      <w:tcPr>
        <w:tcBorders>
          <w:top w:val="nil"/>
          <w:bottom w:val="single" w:sz="8" w:space="0" w:color="C00000" w:themeColor="accent2"/>
        </w:tcBorders>
      </w:tcPr>
    </w:tblStylePr>
    <w:tblStylePr w:type="lastRow">
      <w:rPr>
        <w:b/>
        <w:bCs/>
        <w:color w:val="C6C6C6" w:themeColor="text2"/>
      </w:rPr>
      <w:tblPr/>
      <w:tcPr>
        <w:tcBorders>
          <w:top w:val="single" w:sz="8" w:space="0" w:color="C00000" w:themeColor="accent2"/>
          <w:bottom w:val="single" w:sz="8" w:space="0" w:color="C00000" w:themeColor="accent2"/>
        </w:tcBorders>
      </w:tcPr>
    </w:tblStylePr>
    <w:tblStylePr w:type="firstCol">
      <w:rPr>
        <w:b/>
        <w:bCs/>
      </w:rPr>
    </w:tblStylePr>
    <w:tblStylePr w:type="lastCol">
      <w:rPr>
        <w:b/>
        <w:bCs/>
      </w:rPr>
      <w:tblPr/>
      <w:tcPr>
        <w:tcBorders>
          <w:top w:val="single" w:sz="8" w:space="0" w:color="C00000" w:themeColor="accent2"/>
          <w:bottom w:val="single" w:sz="8" w:space="0" w:color="C00000" w:themeColor="accent2"/>
        </w:tcBorders>
      </w:tcPr>
    </w:tblStylePr>
    <w:tblStylePr w:type="band1Vert">
      <w:tblPr/>
      <w:tcPr>
        <w:shd w:val="clear" w:color="auto" w:fill="FFB0B0" w:themeFill="accent2" w:themeFillTint="3F"/>
      </w:tcPr>
    </w:tblStylePr>
    <w:tblStylePr w:type="band1Horz">
      <w:tblPr/>
      <w:tcPr>
        <w:shd w:val="clear" w:color="auto" w:fill="FFB0B0" w:themeFill="accent2" w:themeFillTint="3F"/>
      </w:tcPr>
    </w:tblStylePr>
  </w:style>
  <w:style w:type="table" w:styleId="MediumList1-Accent3">
    <w:name w:val="Medium List 1 Accent 3"/>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3"/>
        <w:bottom w:val="single" w:sz="8" w:space="0" w:color="5F5F5F" w:themeColor="accent3"/>
      </w:tblBorders>
    </w:tblPr>
    <w:tblStylePr w:type="firstRow">
      <w:rPr>
        <w:rFonts w:asciiTheme="majorHAnsi" w:eastAsiaTheme="majorEastAsia" w:hAnsiTheme="majorHAnsi" w:cstheme="majorBidi"/>
      </w:rPr>
      <w:tblPr/>
      <w:tcPr>
        <w:tcBorders>
          <w:top w:val="nil"/>
          <w:bottom w:val="single" w:sz="8" w:space="0" w:color="5F5F5F" w:themeColor="accent3"/>
        </w:tcBorders>
      </w:tcPr>
    </w:tblStylePr>
    <w:tblStylePr w:type="lastRow">
      <w:rPr>
        <w:b/>
        <w:bCs/>
        <w:color w:val="C6C6C6" w:themeColor="text2"/>
      </w:rPr>
      <w:tblPr/>
      <w:tcPr>
        <w:tcBorders>
          <w:top w:val="single" w:sz="8" w:space="0" w:color="5F5F5F" w:themeColor="accent3"/>
          <w:bottom w:val="single" w:sz="8" w:space="0" w:color="5F5F5F" w:themeColor="accent3"/>
        </w:tcBorders>
      </w:tcPr>
    </w:tblStylePr>
    <w:tblStylePr w:type="firstCol">
      <w:rPr>
        <w:b/>
        <w:bCs/>
      </w:rPr>
    </w:tblStylePr>
    <w:tblStylePr w:type="lastCol">
      <w:rPr>
        <w:b/>
        <w:bCs/>
      </w:rPr>
      <w:tblPr/>
      <w:tcPr>
        <w:tcBorders>
          <w:top w:val="single" w:sz="8" w:space="0" w:color="5F5F5F" w:themeColor="accent3"/>
          <w:bottom w:val="single" w:sz="8" w:space="0" w:color="5F5F5F" w:themeColor="accent3"/>
        </w:tcBorders>
      </w:tcPr>
    </w:tblStylePr>
    <w:tblStylePr w:type="band1Vert">
      <w:tblPr/>
      <w:tcPr>
        <w:shd w:val="clear" w:color="auto" w:fill="D7D7D7" w:themeFill="accent3" w:themeFillTint="3F"/>
      </w:tcPr>
    </w:tblStylePr>
    <w:tblStylePr w:type="band1Horz">
      <w:tblPr/>
      <w:tcPr>
        <w:shd w:val="clear" w:color="auto" w:fill="D7D7D7" w:themeFill="accent3" w:themeFillTint="3F"/>
      </w:tcPr>
    </w:tblStylePr>
  </w:style>
  <w:style w:type="table" w:styleId="MediumList1-Accent4">
    <w:name w:val="Medium List 1 Accent 4"/>
    <w:basedOn w:val="TableNormal"/>
    <w:uiPriority w:val="99"/>
    <w:semiHidden/>
    <w:rsid w:val="00014566"/>
    <w:rPr>
      <w:color w:val="000000" w:themeColor="text1"/>
      <w:lang w:val="fr-FR" w:eastAsia="fr-FR"/>
    </w:rPr>
    <w:tblPr>
      <w:tblStyleRowBandSize w:val="1"/>
      <w:tblStyleColBandSize w:val="1"/>
      <w:tblBorders>
        <w:top w:val="single" w:sz="8" w:space="0" w:color="969696" w:themeColor="accent4"/>
        <w:bottom w:val="single" w:sz="8" w:space="0" w:color="969696" w:themeColor="accent4"/>
      </w:tblBorders>
    </w:tblPr>
    <w:tblStylePr w:type="firstRow">
      <w:rPr>
        <w:rFonts w:asciiTheme="majorHAnsi" w:eastAsiaTheme="majorEastAsia" w:hAnsiTheme="majorHAnsi" w:cstheme="majorBidi"/>
      </w:rPr>
      <w:tblPr/>
      <w:tcPr>
        <w:tcBorders>
          <w:top w:val="nil"/>
          <w:bottom w:val="single" w:sz="8" w:space="0" w:color="969696" w:themeColor="accent4"/>
        </w:tcBorders>
      </w:tcPr>
    </w:tblStylePr>
    <w:tblStylePr w:type="lastRow">
      <w:rPr>
        <w:b/>
        <w:bCs/>
        <w:color w:val="C6C6C6" w:themeColor="text2"/>
      </w:rPr>
      <w:tblPr/>
      <w:tcPr>
        <w:tcBorders>
          <w:top w:val="single" w:sz="8" w:space="0" w:color="969696" w:themeColor="accent4"/>
          <w:bottom w:val="single" w:sz="8" w:space="0" w:color="969696" w:themeColor="accent4"/>
        </w:tcBorders>
      </w:tcPr>
    </w:tblStylePr>
    <w:tblStylePr w:type="firstCol">
      <w:rPr>
        <w:b/>
        <w:bCs/>
      </w:rPr>
    </w:tblStylePr>
    <w:tblStylePr w:type="lastCol">
      <w:rPr>
        <w:b/>
        <w:bCs/>
      </w:rPr>
      <w:tblPr/>
      <w:tcPr>
        <w:tcBorders>
          <w:top w:val="single" w:sz="8" w:space="0" w:color="969696" w:themeColor="accent4"/>
          <w:bottom w:val="single" w:sz="8" w:space="0" w:color="969696" w:themeColor="accent4"/>
        </w:tcBorders>
      </w:tcPr>
    </w:tblStylePr>
    <w:tblStylePr w:type="band1Vert">
      <w:tblPr/>
      <w:tcPr>
        <w:shd w:val="clear" w:color="auto" w:fill="E5E5E5" w:themeFill="accent4" w:themeFillTint="3F"/>
      </w:tcPr>
    </w:tblStylePr>
    <w:tblStylePr w:type="band1Horz">
      <w:tblPr/>
      <w:tcPr>
        <w:shd w:val="clear" w:color="auto" w:fill="E5E5E5" w:themeFill="accent4" w:themeFillTint="3F"/>
      </w:tcPr>
    </w:tblStylePr>
  </w:style>
  <w:style w:type="table" w:styleId="MediumList1-Accent5">
    <w:name w:val="Medium List 1 Accent 5"/>
    <w:basedOn w:val="TableNormal"/>
    <w:uiPriority w:val="99"/>
    <w:semiHidden/>
    <w:rsid w:val="00014566"/>
    <w:rPr>
      <w:color w:val="000000" w:themeColor="text1"/>
      <w:lang w:val="fr-FR" w:eastAsia="fr-FR"/>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C6C6C6"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9"/>
    <w:semiHidden/>
    <w:rsid w:val="00014566"/>
    <w:rPr>
      <w:color w:val="000000" w:themeColor="text1"/>
      <w:lang w:val="fr-FR" w:eastAsia="fr-FR"/>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C6C6C6"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0072BC" w:themeFill="background1"/>
      </w:tcPr>
    </w:tblStylePr>
    <w:tblStylePr w:type="lastRow">
      <w:tblPr/>
      <w:tcPr>
        <w:tcBorders>
          <w:top w:val="single" w:sz="8" w:space="0" w:color="000000" w:themeColor="tex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0000" w:themeColor="text1"/>
          <w:insideH w:val="nil"/>
          <w:insideV w:val="nil"/>
        </w:tcBorders>
        <w:shd w:val="clear" w:color="auto" w:fill="0072BC" w:themeFill="background1"/>
      </w:tcPr>
    </w:tblStylePr>
    <w:tblStylePr w:type="lastCol">
      <w:tblPr/>
      <w:tcPr>
        <w:tcBorders>
          <w:top w:val="nil"/>
          <w:left w:val="single" w:sz="8" w:space="0" w:color="000000" w:themeColor="tex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1">
    <w:name w:val="Medium List 2 Accent 1"/>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0072BC" w:themeColor="accent1"/>
        <w:left w:val="single" w:sz="8" w:space="0" w:color="0072BC" w:themeColor="accent1"/>
        <w:bottom w:val="single" w:sz="8" w:space="0" w:color="0072BC" w:themeColor="accent1"/>
        <w:right w:val="single" w:sz="8" w:space="0" w:color="0072BC" w:themeColor="accent1"/>
      </w:tblBorders>
    </w:tblPr>
    <w:tblStylePr w:type="firstRow">
      <w:rPr>
        <w:sz w:val="24"/>
        <w:szCs w:val="24"/>
      </w:rPr>
      <w:tblPr/>
      <w:tcPr>
        <w:tcBorders>
          <w:top w:val="nil"/>
          <w:left w:val="nil"/>
          <w:bottom w:val="single" w:sz="24" w:space="0" w:color="0072BC" w:themeColor="accent1"/>
          <w:right w:val="nil"/>
          <w:insideH w:val="nil"/>
          <w:insideV w:val="nil"/>
        </w:tcBorders>
        <w:shd w:val="clear" w:color="auto" w:fill="0072BC" w:themeFill="background1"/>
      </w:tcPr>
    </w:tblStylePr>
    <w:tblStylePr w:type="lastRow">
      <w:tblPr/>
      <w:tcPr>
        <w:tcBorders>
          <w:top w:val="single" w:sz="8" w:space="0" w:color="0072BC" w:themeColor="accent1"/>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0072BC" w:themeColor="accent1"/>
          <w:insideH w:val="nil"/>
          <w:insideV w:val="nil"/>
        </w:tcBorders>
        <w:shd w:val="clear" w:color="auto" w:fill="0072BC" w:themeFill="background1"/>
      </w:tcPr>
    </w:tblStylePr>
    <w:tblStylePr w:type="lastCol">
      <w:tblPr/>
      <w:tcPr>
        <w:tcBorders>
          <w:top w:val="nil"/>
          <w:left w:val="single" w:sz="8" w:space="0" w:color="0072BC" w:themeColor="accent1"/>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AFDFFF" w:themeFill="accent1" w:themeFillTint="3F"/>
      </w:tcPr>
    </w:tblStylePr>
    <w:tblStylePr w:type="band1Horz">
      <w:tblPr/>
      <w:tcPr>
        <w:tcBorders>
          <w:top w:val="nil"/>
          <w:bottom w:val="nil"/>
          <w:insideH w:val="nil"/>
          <w:insideV w:val="nil"/>
        </w:tcBorders>
        <w:shd w:val="clear" w:color="auto" w:fill="AFDFFF" w:themeFill="accent1"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2">
    <w:name w:val="Medium List 2 Accent 2"/>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C00000" w:themeColor="accent2"/>
        <w:left w:val="single" w:sz="8" w:space="0" w:color="C00000" w:themeColor="accent2"/>
        <w:bottom w:val="single" w:sz="8" w:space="0" w:color="C00000" w:themeColor="accent2"/>
        <w:right w:val="single" w:sz="8" w:space="0" w:color="C00000" w:themeColor="accent2"/>
      </w:tblBorders>
    </w:tblPr>
    <w:tblStylePr w:type="firstRow">
      <w:rPr>
        <w:sz w:val="24"/>
        <w:szCs w:val="24"/>
      </w:rPr>
      <w:tblPr/>
      <w:tcPr>
        <w:tcBorders>
          <w:top w:val="nil"/>
          <w:left w:val="nil"/>
          <w:bottom w:val="single" w:sz="24" w:space="0" w:color="C00000" w:themeColor="accent2"/>
          <w:right w:val="nil"/>
          <w:insideH w:val="nil"/>
          <w:insideV w:val="nil"/>
        </w:tcBorders>
        <w:shd w:val="clear" w:color="auto" w:fill="0072BC" w:themeFill="background1"/>
      </w:tcPr>
    </w:tblStylePr>
    <w:tblStylePr w:type="lastRow">
      <w:tblPr/>
      <w:tcPr>
        <w:tcBorders>
          <w:top w:val="single" w:sz="8" w:space="0" w:color="C00000" w:themeColor="accent2"/>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C00000" w:themeColor="accent2"/>
          <w:insideH w:val="nil"/>
          <w:insideV w:val="nil"/>
        </w:tcBorders>
        <w:shd w:val="clear" w:color="auto" w:fill="0072BC" w:themeFill="background1"/>
      </w:tcPr>
    </w:tblStylePr>
    <w:tblStylePr w:type="lastCol">
      <w:tblPr/>
      <w:tcPr>
        <w:tcBorders>
          <w:top w:val="nil"/>
          <w:left w:val="single" w:sz="8" w:space="0" w:color="C00000" w:themeColor="accent2"/>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FFB0B0" w:themeFill="accent2" w:themeFillTint="3F"/>
      </w:tcPr>
    </w:tblStylePr>
    <w:tblStylePr w:type="band1Horz">
      <w:tblPr/>
      <w:tcPr>
        <w:tcBorders>
          <w:top w:val="nil"/>
          <w:bottom w:val="nil"/>
          <w:insideH w:val="nil"/>
          <w:insideV w:val="nil"/>
        </w:tcBorders>
        <w:shd w:val="clear" w:color="auto" w:fill="FFB0B0" w:themeFill="accent2"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3">
    <w:name w:val="Medium List 2 Accent 3"/>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3"/>
        <w:left w:val="single" w:sz="8" w:space="0" w:color="5F5F5F" w:themeColor="accent3"/>
        <w:bottom w:val="single" w:sz="8" w:space="0" w:color="5F5F5F" w:themeColor="accent3"/>
        <w:right w:val="single" w:sz="8" w:space="0" w:color="5F5F5F" w:themeColor="accent3"/>
      </w:tblBorders>
    </w:tblPr>
    <w:tblStylePr w:type="firstRow">
      <w:rPr>
        <w:sz w:val="24"/>
        <w:szCs w:val="24"/>
      </w:rPr>
      <w:tblPr/>
      <w:tcPr>
        <w:tcBorders>
          <w:top w:val="nil"/>
          <w:left w:val="nil"/>
          <w:bottom w:val="single" w:sz="24" w:space="0" w:color="5F5F5F" w:themeColor="accent3"/>
          <w:right w:val="nil"/>
          <w:insideH w:val="nil"/>
          <w:insideV w:val="nil"/>
        </w:tcBorders>
        <w:shd w:val="clear" w:color="auto" w:fill="0072BC" w:themeFill="background1"/>
      </w:tcPr>
    </w:tblStylePr>
    <w:tblStylePr w:type="lastRow">
      <w:tblPr/>
      <w:tcPr>
        <w:tcBorders>
          <w:top w:val="single" w:sz="8" w:space="0" w:color="5F5F5F" w:themeColor="accent3"/>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3"/>
          <w:insideH w:val="nil"/>
          <w:insideV w:val="nil"/>
        </w:tcBorders>
        <w:shd w:val="clear" w:color="auto" w:fill="0072BC" w:themeFill="background1"/>
      </w:tcPr>
    </w:tblStylePr>
    <w:tblStylePr w:type="lastCol">
      <w:tblPr/>
      <w:tcPr>
        <w:tcBorders>
          <w:top w:val="nil"/>
          <w:left w:val="single" w:sz="8" w:space="0" w:color="5F5F5F" w:themeColor="accent3"/>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3" w:themeFillTint="3F"/>
      </w:tcPr>
    </w:tblStylePr>
    <w:tblStylePr w:type="band1Horz">
      <w:tblPr/>
      <w:tcPr>
        <w:tcBorders>
          <w:top w:val="nil"/>
          <w:bottom w:val="nil"/>
          <w:insideH w:val="nil"/>
          <w:insideV w:val="nil"/>
        </w:tcBorders>
        <w:shd w:val="clear" w:color="auto" w:fill="D7D7D7" w:themeFill="accent3"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4">
    <w:name w:val="Medium List 2 Accent 4"/>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969696" w:themeColor="accent4"/>
        <w:left w:val="single" w:sz="8" w:space="0" w:color="969696" w:themeColor="accent4"/>
        <w:bottom w:val="single" w:sz="8" w:space="0" w:color="969696" w:themeColor="accent4"/>
        <w:right w:val="single" w:sz="8" w:space="0" w:color="969696" w:themeColor="accent4"/>
      </w:tblBorders>
    </w:tblPr>
    <w:tblStylePr w:type="firstRow">
      <w:rPr>
        <w:sz w:val="24"/>
        <w:szCs w:val="24"/>
      </w:rPr>
      <w:tblPr/>
      <w:tcPr>
        <w:tcBorders>
          <w:top w:val="nil"/>
          <w:left w:val="nil"/>
          <w:bottom w:val="single" w:sz="24" w:space="0" w:color="969696" w:themeColor="accent4"/>
          <w:right w:val="nil"/>
          <w:insideH w:val="nil"/>
          <w:insideV w:val="nil"/>
        </w:tcBorders>
        <w:shd w:val="clear" w:color="auto" w:fill="0072BC" w:themeFill="background1"/>
      </w:tcPr>
    </w:tblStylePr>
    <w:tblStylePr w:type="lastRow">
      <w:tblPr/>
      <w:tcPr>
        <w:tcBorders>
          <w:top w:val="single" w:sz="8" w:space="0" w:color="969696" w:themeColor="accent4"/>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969696" w:themeColor="accent4"/>
          <w:insideH w:val="nil"/>
          <w:insideV w:val="nil"/>
        </w:tcBorders>
        <w:shd w:val="clear" w:color="auto" w:fill="0072BC" w:themeFill="background1"/>
      </w:tcPr>
    </w:tblStylePr>
    <w:tblStylePr w:type="lastCol">
      <w:tblPr/>
      <w:tcPr>
        <w:tcBorders>
          <w:top w:val="nil"/>
          <w:left w:val="single" w:sz="8" w:space="0" w:color="969696" w:themeColor="accent4"/>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E5E5E5" w:themeFill="accent4" w:themeFillTint="3F"/>
      </w:tcPr>
    </w:tblStylePr>
    <w:tblStylePr w:type="band1Horz">
      <w:tblPr/>
      <w:tcPr>
        <w:tcBorders>
          <w:top w:val="nil"/>
          <w:bottom w:val="nil"/>
          <w:insideH w:val="nil"/>
          <w:insideV w:val="nil"/>
        </w:tcBorders>
        <w:shd w:val="clear" w:color="auto" w:fill="E5E5E5" w:themeFill="accent4"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5">
    <w:name w:val="Medium List 2 Accent 5"/>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0072BC" w:themeFill="background1"/>
      </w:tcPr>
    </w:tblStylePr>
    <w:tblStylePr w:type="lastRow">
      <w:tblPr/>
      <w:tcPr>
        <w:tcBorders>
          <w:top w:val="single" w:sz="8" w:space="0" w:color="5F5F5F" w:themeColor="accent5"/>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5F5F5F" w:themeColor="accent5"/>
          <w:insideH w:val="nil"/>
          <w:insideV w:val="nil"/>
        </w:tcBorders>
        <w:shd w:val="clear" w:color="auto" w:fill="0072BC" w:themeFill="background1"/>
      </w:tcPr>
    </w:tblStylePr>
    <w:tblStylePr w:type="lastCol">
      <w:tblPr/>
      <w:tcPr>
        <w:tcBorders>
          <w:top w:val="nil"/>
          <w:left w:val="single" w:sz="8" w:space="0" w:color="5F5F5F" w:themeColor="accent5"/>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List2-Accent6">
    <w:name w:val="Medium List 2 Accent 6"/>
    <w:basedOn w:val="TableNormal"/>
    <w:uiPriority w:val="99"/>
    <w:semiHidden/>
    <w:rsid w:val="00014566"/>
    <w:rPr>
      <w:rFonts w:asciiTheme="majorHAnsi" w:eastAsiaTheme="majorEastAsia" w:hAnsiTheme="majorHAnsi" w:cstheme="majorBidi"/>
      <w:color w:val="000000" w:themeColor="text1"/>
      <w:lang w:val="fr-FR" w:eastAsia="fr-FR"/>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0072BC" w:themeFill="background1"/>
      </w:tcPr>
    </w:tblStylePr>
    <w:tblStylePr w:type="lastRow">
      <w:tblPr/>
      <w:tcPr>
        <w:tcBorders>
          <w:top w:val="single" w:sz="8" w:space="0" w:color="4D4D4D" w:themeColor="accent6"/>
          <w:left w:val="nil"/>
          <w:bottom w:val="nil"/>
          <w:right w:val="nil"/>
          <w:insideH w:val="nil"/>
          <w:insideV w:val="nil"/>
        </w:tcBorders>
        <w:shd w:val="clear" w:color="auto" w:fill="0072BC" w:themeFill="background1"/>
      </w:tcPr>
    </w:tblStylePr>
    <w:tblStylePr w:type="firstCol">
      <w:tblPr/>
      <w:tcPr>
        <w:tcBorders>
          <w:top w:val="nil"/>
          <w:left w:val="nil"/>
          <w:bottom w:val="nil"/>
          <w:right w:val="single" w:sz="8" w:space="0" w:color="4D4D4D" w:themeColor="accent6"/>
          <w:insideH w:val="nil"/>
          <w:insideV w:val="nil"/>
        </w:tcBorders>
        <w:shd w:val="clear" w:color="auto" w:fill="0072BC" w:themeFill="background1"/>
      </w:tcPr>
    </w:tblStylePr>
    <w:tblStylePr w:type="lastCol">
      <w:tblPr/>
      <w:tcPr>
        <w:tcBorders>
          <w:top w:val="nil"/>
          <w:left w:val="single" w:sz="8" w:space="0" w:color="4D4D4D" w:themeColor="accent6"/>
          <w:bottom w:val="nil"/>
          <w:right w:val="nil"/>
          <w:insideH w:val="nil"/>
          <w:insideV w:val="nil"/>
        </w:tcBorders>
        <w:shd w:val="clear" w:color="auto" w:fill="0072BC"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0072BC" w:themeFill="background1"/>
      </w:tcPr>
    </w:tblStylePr>
    <w:tblStylePr w:type="swCell">
      <w:tblPr/>
      <w:tcPr>
        <w:tcBorders>
          <w:top w:val="nil"/>
        </w:tcBorders>
      </w:tcPr>
    </w:tblStylePr>
  </w:style>
  <w:style w:type="table" w:styleId="MediumShading1">
    <w:name w:val="Medium Shading 1"/>
    <w:basedOn w:val="TableNormal"/>
    <w:uiPriority w:val="99"/>
    <w:semiHidden/>
    <w:rsid w:val="00014566"/>
    <w:rPr>
      <w:lang w:val="fr-FR" w:eastAsia="fr-FR"/>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0072BC"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rsid w:val="00014566"/>
    <w:rPr>
      <w:lang w:val="fr-FR" w:eastAsia="fr-FR"/>
    </w:rPr>
    <w:tblPr>
      <w:tblStyleRowBandSize w:val="1"/>
      <w:tblStyleColBandSize w:val="1"/>
      <w:tbl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single" w:sz="8" w:space="0" w:color="0D9FFF" w:themeColor="accent1" w:themeTint="BF"/>
      </w:tblBorders>
    </w:tblPr>
    <w:tblStylePr w:type="firstRow">
      <w:pPr>
        <w:spacing w:before="0" w:after="0" w:line="240" w:lineRule="auto"/>
      </w:pPr>
      <w:rPr>
        <w:b/>
        <w:bCs/>
        <w:color w:val="0072BC" w:themeColor="background1"/>
      </w:rPr>
      <w:tblPr/>
      <w:tcPr>
        <w:tcBorders>
          <w:top w:val="single" w:sz="8"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shd w:val="clear" w:color="auto" w:fill="0072BC" w:themeFill="accent1"/>
      </w:tcPr>
    </w:tblStylePr>
    <w:tblStylePr w:type="lastRow">
      <w:pPr>
        <w:spacing w:before="0" w:after="0" w:line="240" w:lineRule="auto"/>
      </w:pPr>
      <w:rPr>
        <w:b/>
        <w:bCs/>
      </w:rPr>
      <w:tblPr/>
      <w:tcPr>
        <w:tcBorders>
          <w:top w:val="double" w:sz="6" w:space="0" w:color="0D9FFF" w:themeColor="accent1" w:themeTint="BF"/>
          <w:left w:val="single" w:sz="8" w:space="0" w:color="0D9FFF" w:themeColor="accent1" w:themeTint="BF"/>
          <w:bottom w:val="single" w:sz="8" w:space="0" w:color="0D9FFF" w:themeColor="accent1" w:themeTint="BF"/>
          <w:right w:val="single" w:sz="8" w:space="0" w:color="0D9FFF" w:themeColor="accent1" w:themeTint="BF"/>
          <w:insideH w:val="nil"/>
          <w:insideV w:val="nil"/>
        </w:tcBorders>
      </w:tcPr>
    </w:tblStylePr>
    <w:tblStylePr w:type="firstCol">
      <w:rPr>
        <w:b/>
        <w:bCs/>
      </w:rPr>
    </w:tblStylePr>
    <w:tblStylePr w:type="lastCol">
      <w:rPr>
        <w:b/>
        <w:bCs/>
      </w:rPr>
    </w:tblStylePr>
    <w:tblStylePr w:type="band1Vert">
      <w:tblPr/>
      <w:tcPr>
        <w:shd w:val="clear" w:color="auto" w:fill="AFDFFF" w:themeFill="accent1" w:themeFillTint="3F"/>
      </w:tcPr>
    </w:tblStylePr>
    <w:tblStylePr w:type="band1Horz">
      <w:tblPr/>
      <w:tcPr>
        <w:tcBorders>
          <w:insideH w:val="nil"/>
          <w:insideV w:val="nil"/>
        </w:tcBorders>
        <w:shd w:val="clear" w:color="auto" w:fill="AFDF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rsid w:val="00014566"/>
    <w:rPr>
      <w:lang w:val="fr-FR" w:eastAsia="fr-FR"/>
    </w:rPr>
    <w:tblPr>
      <w:tblStyleRowBandSize w:val="1"/>
      <w:tblStyleColBandSize w:val="1"/>
      <w:tbl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single" w:sz="8" w:space="0" w:color="FF1010" w:themeColor="accent2" w:themeTint="BF"/>
      </w:tblBorders>
    </w:tblPr>
    <w:tblStylePr w:type="firstRow">
      <w:pPr>
        <w:spacing w:before="0" w:after="0" w:line="240" w:lineRule="auto"/>
      </w:pPr>
      <w:rPr>
        <w:b/>
        <w:bCs/>
        <w:color w:val="0072BC" w:themeColor="background1"/>
      </w:rPr>
      <w:tblPr/>
      <w:tcPr>
        <w:tcBorders>
          <w:top w:val="single" w:sz="8"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shd w:val="clear" w:color="auto" w:fill="C00000" w:themeFill="accent2"/>
      </w:tcPr>
    </w:tblStylePr>
    <w:tblStylePr w:type="lastRow">
      <w:pPr>
        <w:spacing w:before="0" w:after="0" w:line="240" w:lineRule="auto"/>
      </w:pPr>
      <w:rPr>
        <w:b/>
        <w:bCs/>
      </w:rPr>
      <w:tblPr/>
      <w:tcPr>
        <w:tcBorders>
          <w:top w:val="double" w:sz="6" w:space="0" w:color="FF1010" w:themeColor="accent2" w:themeTint="BF"/>
          <w:left w:val="single" w:sz="8" w:space="0" w:color="FF1010" w:themeColor="accent2" w:themeTint="BF"/>
          <w:bottom w:val="single" w:sz="8" w:space="0" w:color="FF1010" w:themeColor="accent2" w:themeTint="BF"/>
          <w:right w:val="single" w:sz="8" w:space="0" w:color="FF1010" w:themeColor="accent2" w:themeTint="BF"/>
          <w:insideH w:val="nil"/>
          <w:insideV w:val="nil"/>
        </w:tcBorders>
      </w:tcPr>
    </w:tblStylePr>
    <w:tblStylePr w:type="firstCol">
      <w:rPr>
        <w:b/>
        <w:bCs/>
      </w:rPr>
    </w:tblStylePr>
    <w:tblStylePr w:type="lastCol">
      <w:rPr>
        <w:b/>
        <w:bCs/>
      </w:rPr>
    </w:tblStylePr>
    <w:tblStylePr w:type="band1Vert">
      <w:tblPr/>
      <w:tcPr>
        <w:shd w:val="clear" w:color="auto" w:fill="FFB0B0" w:themeFill="accent2" w:themeFillTint="3F"/>
      </w:tcPr>
    </w:tblStylePr>
    <w:tblStylePr w:type="band1Horz">
      <w:tblPr/>
      <w:tcPr>
        <w:tcBorders>
          <w:insideH w:val="nil"/>
          <w:insideV w:val="nil"/>
        </w:tcBorders>
        <w:shd w:val="clear" w:color="auto" w:fill="FFB0B0"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rsid w:val="00014566"/>
    <w:rPr>
      <w:lang w:val="fr-FR" w:eastAsia="fr-FR"/>
    </w:rPr>
    <w:tblPr>
      <w:tblStyleRowBandSize w:val="1"/>
      <w:tblStyleColBandSize w:val="1"/>
      <w:tbl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single" w:sz="8" w:space="0" w:color="878787" w:themeColor="accent3" w:themeTint="BF"/>
      </w:tblBorders>
    </w:tblPr>
    <w:tblStylePr w:type="firstRow">
      <w:pPr>
        <w:spacing w:before="0" w:after="0" w:line="240" w:lineRule="auto"/>
      </w:pPr>
      <w:rPr>
        <w:b/>
        <w:bCs/>
        <w:color w:val="0072BC" w:themeColor="background1"/>
      </w:rPr>
      <w:tblPr/>
      <w:tcPr>
        <w:tcBorders>
          <w:top w:val="single" w:sz="8"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shd w:val="clear" w:color="auto" w:fill="5F5F5F" w:themeFill="accent3"/>
      </w:tcPr>
    </w:tblStylePr>
    <w:tblStylePr w:type="lastRow">
      <w:pPr>
        <w:spacing w:before="0" w:after="0" w:line="240" w:lineRule="auto"/>
      </w:pPr>
      <w:rPr>
        <w:b/>
        <w:bCs/>
      </w:rPr>
      <w:tblPr/>
      <w:tcPr>
        <w:tcBorders>
          <w:top w:val="double" w:sz="6" w:space="0" w:color="878787" w:themeColor="accent3" w:themeTint="BF"/>
          <w:left w:val="single" w:sz="8" w:space="0" w:color="878787" w:themeColor="accent3" w:themeTint="BF"/>
          <w:bottom w:val="single" w:sz="8" w:space="0" w:color="878787" w:themeColor="accent3" w:themeTint="BF"/>
          <w:right w:val="single" w:sz="8" w:space="0" w:color="878787" w:themeColor="accent3"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3" w:themeFillTint="3F"/>
      </w:tcPr>
    </w:tblStylePr>
    <w:tblStylePr w:type="band1Horz">
      <w:tblPr/>
      <w:tcPr>
        <w:tcBorders>
          <w:insideH w:val="nil"/>
          <w:insideV w:val="nil"/>
        </w:tcBorders>
        <w:shd w:val="clear" w:color="auto" w:fill="D7D7D7"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rsid w:val="00014566"/>
    <w:rPr>
      <w:lang w:val="fr-FR" w:eastAsia="fr-FR"/>
    </w:rPr>
    <w:tblPr>
      <w:tblStyleRowBandSize w:val="1"/>
      <w:tblStyleColBandSize w:val="1"/>
      <w:tbl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single" w:sz="8" w:space="0" w:color="B0B0B0" w:themeColor="accent4" w:themeTint="BF"/>
      </w:tblBorders>
    </w:tblPr>
    <w:tblStylePr w:type="firstRow">
      <w:pPr>
        <w:spacing w:before="0" w:after="0" w:line="240" w:lineRule="auto"/>
      </w:pPr>
      <w:rPr>
        <w:b/>
        <w:bCs/>
        <w:color w:val="0072BC" w:themeColor="background1"/>
      </w:rPr>
      <w:tblPr/>
      <w:tcPr>
        <w:tcBorders>
          <w:top w:val="single" w:sz="8"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shd w:val="clear" w:color="auto" w:fill="969696" w:themeFill="accent4"/>
      </w:tcPr>
    </w:tblStylePr>
    <w:tblStylePr w:type="lastRow">
      <w:pPr>
        <w:spacing w:before="0" w:after="0" w:line="240" w:lineRule="auto"/>
      </w:pPr>
      <w:rPr>
        <w:b/>
        <w:bCs/>
      </w:rPr>
      <w:tblPr/>
      <w:tcPr>
        <w:tcBorders>
          <w:top w:val="double" w:sz="6" w:space="0" w:color="B0B0B0" w:themeColor="accent4" w:themeTint="BF"/>
          <w:left w:val="single" w:sz="8" w:space="0" w:color="B0B0B0" w:themeColor="accent4" w:themeTint="BF"/>
          <w:bottom w:val="single" w:sz="8" w:space="0" w:color="B0B0B0" w:themeColor="accent4" w:themeTint="BF"/>
          <w:right w:val="single" w:sz="8" w:space="0" w:color="B0B0B0" w:themeColor="accent4"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4" w:themeFillTint="3F"/>
      </w:tcPr>
    </w:tblStylePr>
    <w:tblStylePr w:type="band1Horz">
      <w:tblPr/>
      <w:tcPr>
        <w:tcBorders>
          <w:insideH w:val="nil"/>
          <w:insideV w:val="nil"/>
        </w:tcBorders>
        <w:shd w:val="clear" w:color="auto" w:fill="E5E5E5"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rsid w:val="00014566"/>
    <w:rPr>
      <w:lang w:val="fr-FR" w:eastAsia="fr-FR"/>
    </w:r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0072BC"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rsid w:val="00014566"/>
    <w:rPr>
      <w:lang w:val="fr-FR" w:eastAsia="fr-FR"/>
    </w:r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0072BC"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0072BC"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0072B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0072BC" w:themeFill="accent1"/>
      </w:tcPr>
    </w:tblStylePr>
    <w:tblStylePr w:type="lastCol">
      <w:rPr>
        <w:b/>
        <w:bCs/>
        <w:color w:val="0072BC" w:themeColor="background1"/>
      </w:rPr>
      <w:tblPr/>
      <w:tcPr>
        <w:tcBorders>
          <w:left w:val="nil"/>
          <w:right w:val="nil"/>
          <w:insideH w:val="nil"/>
          <w:insideV w:val="nil"/>
        </w:tcBorders>
        <w:shd w:val="clear" w:color="auto" w:fill="0072BC" w:themeFill="accent1"/>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C0000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C00000" w:themeFill="accent2"/>
      </w:tcPr>
    </w:tblStylePr>
    <w:tblStylePr w:type="lastCol">
      <w:rPr>
        <w:b/>
        <w:bCs/>
        <w:color w:val="0072BC" w:themeColor="background1"/>
      </w:rPr>
      <w:tblPr/>
      <w:tcPr>
        <w:tcBorders>
          <w:left w:val="nil"/>
          <w:right w:val="nil"/>
          <w:insideH w:val="nil"/>
          <w:insideV w:val="nil"/>
        </w:tcBorders>
        <w:shd w:val="clear" w:color="auto" w:fill="C00000" w:themeFill="accent2"/>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3"/>
      </w:tcPr>
    </w:tblStylePr>
    <w:tblStylePr w:type="lastCol">
      <w:rPr>
        <w:b/>
        <w:bCs/>
        <w:color w:val="0072BC" w:themeColor="background1"/>
      </w:rPr>
      <w:tblPr/>
      <w:tcPr>
        <w:tcBorders>
          <w:left w:val="nil"/>
          <w:right w:val="nil"/>
          <w:insideH w:val="nil"/>
          <w:insideV w:val="nil"/>
        </w:tcBorders>
        <w:shd w:val="clear" w:color="auto" w:fill="5F5F5F" w:themeFill="accent3"/>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969696"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969696" w:themeFill="accent4"/>
      </w:tcPr>
    </w:tblStylePr>
    <w:tblStylePr w:type="lastCol">
      <w:rPr>
        <w:b/>
        <w:bCs/>
        <w:color w:val="0072BC" w:themeColor="background1"/>
      </w:rPr>
      <w:tblPr/>
      <w:tcPr>
        <w:tcBorders>
          <w:left w:val="nil"/>
          <w:right w:val="nil"/>
          <w:insideH w:val="nil"/>
          <w:insideV w:val="nil"/>
        </w:tcBorders>
        <w:shd w:val="clear" w:color="auto" w:fill="969696" w:themeFill="accent4"/>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0072BC"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rsid w:val="00014566"/>
    <w:rPr>
      <w:lang w:val="fr-FR" w:eastAsia="fr-FR"/>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0072BC"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0072BC" w:themeFill="background1"/>
      </w:tcPr>
    </w:tblStylePr>
    <w:tblStylePr w:type="firstCol">
      <w:rPr>
        <w:b/>
        <w:bCs/>
        <w:color w:val="0072BC"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0072BC"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00609F" w:themeFill="background1" w:themeFillShade="D8"/>
      </w:tcPr>
    </w:tblStylePr>
    <w:tblStylePr w:type="band1Horz">
      <w:tblPr/>
      <w:tcPr>
        <w:shd w:val="clear" w:color="auto" w:fill="00609F"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0072BC"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01456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Cs w:val="24"/>
    </w:rPr>
  </w:style>
  <w:style w:type="character" w:customStyle="1" w:styleId="MessageHeaderChar">
    <w:name w:val="Message Header Char"/>
    <w:basedOn w:val="DefaultParagraphFont"/>
    <w:link w:val="MessageHeader"/>
    <w:uiPriority w:val="99"/>
    <w:semiHidden/>
    <w:rsid w:val="00014566"/>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rsid w:val="00014566"/>
    <w:rPr>
      <w:rFonts w:ascii="Times New Roman" w:hAnsi="Times New Roman" w:cs="Times New Roman"/>
      <w:szCs w:val="24"/>
    </w:rPr>
  </w:style>
  <w:style w:type="paragraph" w:styleId="NormalIndent">
    <w:name w:val="Normal Indent"/>
    <w:basedOn w:val="Normal"/>
    <w:uiPriority w:val="99"/>
    <w:semiHidden/>
    <w:rsid w:val="00014566"/>
    <w:pPr>
      <w:ind w:left="720"/>
    </w:pPr>
  </w:style>
  <w:style w:type="paragraph" w:styleId="NoteHeading">
    <w:name w:val="Note Heading"/>
    <w:basedOn w:val="Normal"/>
    <w:next w:val="Normal"/>
    <w:link w:val="NoteHeadingChar"/>
    <w:uiPriority w:val="99"/>
    <w:semiHidden/>
    <w:rsid w:val="00014566"/>
  </w:style>
  <w:style w:type="character" w:customStyle="1" w:styleId="NoteHeadingChar">
    <w:name w:val="Note Heading Char"/>
    <w:basedOn w:val="DefaultParagraphFont"/>
    <w:link w:val="NoteHeading"/>
    <w:uiPriority w:val="99"/>
    <w:semiHidden/>
    <w:rsid w:val="00014566"/>
    <w:rPr>
      <w:rFonts w:eastAsiaTheme="minorEastAsia"/>
      <w:sz w:val="24"/>
    </w:rPr>
  </w:style>
  <w:style w:type="character" w:styleId="PlaceholderText">
    <w:name w:val="Placeholder Text"/>
    <w:basedOn w:val="DefaultParagraphFont"/>
    <w:uiPriority w:val="99"/>
    <w:semiHidden/>
    <w:rsid w:val="00062EE3"/>
    <w:rPr>
      <w:color w:val="auto"/>
      <w:bdr w:val="none" w:sz="0" w:space="0" w:color="auto"/>
      <w:shd w:val="clear" w:color="auto" w:fill="DFDFDF" w:themeFill="background2" w:themeFillShade="E6"/>
    </w:rPr>
  </w:style>
  <w:style w:type="paragraph" w:styleId="PlainText">
    <w:name w:val="Plain Text"/>
    <w:basedOn w:val="Normal"/>
    <w:link w:val="PlainTextChar"/>
    <w:uiPriority w:val="99"/>
    <w:semiHidden/>
    <w:rsid w:val="00014566"/>
    <w:rPr>
      <w:rFonts w:ascii="Consolas" w:hAnsi="Consolas" w:cs="Consolas"/>
      <w:sz w:val="21"/>
      <w:szCs w:val="21"/>
    </w:rPr>
  </w:style>
  <w:style w:type="character" w:customStyle="1" w:styleId="PlainTextChar">
    <w:name w:val="Plain Text Char"/>
    <w:basedOn w:val="DefaultParagraphFont"/>
    <w:link w:val="PlainText"/>
    <w:uiPriority w:val="99"/>
    <w:semiHidden/>
    <w:rsid w:val="00014566"/>
    <w:rPr>
      <w:rFonts w:ascii="Consolas" w:eastAsiaTheme="minorEastAsia" w:hAnsi="Consolas" w:cs="Consolas"/>
      <w:sz w:val="21"/>
      <w:szCs w:val="21"/>
    </w:rPr>
  </w:style>
  <w:style w:type="paragraph" w:styleId="Salutation">
    <w:name w:val="Salutation"/>
    <w:basedOn w:val="Normal"/>
    <w:next w:val="Normal"/>
    <w:link w:val="SalutationChar"/>
    <w:uiPriority w:val="99"/>
    <w:semiHidden/>
    <w:rsid w:val="00014566"/>
  </w:style>
  <w:style w:type="character" w:customStyle="1" w:styleId="SalutationChar">
    <w:name w:val="Salutation Char"/>
    <w:basedOn w:val="DefaultParagraphFont"/>
    <w:link w:val="Salutation"/>
    <w:uiPriority w:val="99"/>
    <w:semiHidden/>
    <w:rsid w:val="00014566"/>
    <w:rPr>
      <w:rFonts w:eastAsiaTheme="minorEastAsia"/>
      <w:sz w:val="24"/>
    </w:rPr>
  </w:style>
  <w:style w:type="paragraph" w:styleId="Signature">
    <w:name w:val="Signature"/>
    <w:basedOn w:val="Normal"/>
    <w:link w:val="SignatureChar"/>
    <w:uiPriority w:val="99"/>
    <w:semiHidden/>
    <w:rsid w:val="00014566"/>
    <w:pPr>
      <w:ind w:left="4252"/>
    </w:pPr>
  </w:style>
  <w:style w:type="character" w:customStyle="1" w:styleId="SignatureChar">
    <w:name w:val="Signature Char"/>
    <w:basedOn w:val="DefaultParagraphFont"/>
    <w:link w:val="Signature"/>
    <w:uiPriority w:val="99"/>
    <w:semiHidden/>
    <w:rsid w:val="00014566"/>
    <w:rPr>
      <w:rFonts w:eastAsiaTheme="minorEastAsia"/>
      <w:sz w:val="24"/>
    </w:rPr>
  </w:style>
  <w:style w:type="table" w:styleId="Table3Deffects1">
    <w:name w:val="Table 3D effects 1"/>
    <w:basedOn w:val="TableNormal"/>
    <w:uiPriority w:val="99"/>
    <w:semiHidden/>
    <w:rsid w:val="00014566"/>
    <w:pPr>
      <w:suppressAutoHyphens/>
    </w:pPr>
    <w:rPr>
      <w:lang w:val="fr-FR" w:eastAsia="fr-FR"/>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rsid w:val="00014566"/>
    <w:pPr>
      <w:suppressAutoHyphens/>
    </w:pPr>
    <w:rPr>
      <w:lang w:val="fr-FR" w:eastAsia="fr-FR"/>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rsid w:val="00014566"/>
    <w:pPr>
      <w:suppressAutoHyphens/>
    </w:pPr>
    <w:rPr>
      <w:lang w:val="fr-FR" w:eastAsia="fr-FR"/>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rsid w:val="00014566"/>
    <w:pPr>
      <w:suppressAutoHyphens/>
    </w:pPr>
    <w:rPr>
      <w:lang w:val="fr-FR" w:eastAsia="fr-F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rsid w:val="00014566"/>
    <w:pPr>
      <w:suppressAutoHyphens/>
    </w:pPr>
    <w:rPr>
      <w:color w:val="000080"/>
      <w:lang w:val="fr-FR" w:eastAsia="fr-FR"/>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rsid w:val="00014566"/>
    <w:pPr>
      <w:suppressAutoHyphens/>
    </w:pPr>
    <w:rPr>
      <w:lang w:val="fr-FR" w:eastAsia="fr-FR"/>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rsid w:val="00014566"/>
    <w:pPr>
      <w:suppressAutoHyphens/>
    </w:pPr>
    <w:rPr>
      <w:color w:val="FFFFFF"/>
      <w:lang w:val="fr-FR" w:eastAsia="fr-F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rsid w:val="00014566"/>
    <w:pPr>
      <w:suppressAutoHyphens/>
    </w:pPr>
    <w:rPr>
      <w:lang w:val="fr-FR" w:eastAsia="fr-FR"/>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rsid w:val="00014566"/>
    <w:pPr>
      <w:suppressAutoHyphens/>
    </w:pPr>
    <w:rPr>
      <w:lang w:val="fr-FR" w:eastAsia="fr-FR"/>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rsid w:val="00014566"/>
    <w:pPr>
      <w:suppressAutoHyphens/>
    </w:pPr>
    <w:rPr>
      <w:b/>
      <w:bCs/>
      <w:lang w:val="fr-FR" w:eastAsia="fr-FR"/>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rsid w:val="00014566"/>
    <w:pPr>
      <w:suppressAutoHyphens/>
    </w:pPr>
    <w:rPr>
      <w:b/>
      <w:bCs/>
      <w:lang w:val="fr-FR" w:eastAsia="fr-FR"/>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rsid w:val="00014566"/>
    <w:pPr>
      <w:suppressAutoHyphens/>
    </w:pPr>
    <w:rPr>
      <w:b/>
      <w:bCs/>
      <w:lang w:val="fr-FR" w:eastAsia="fr-FR"/>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rsid w:val="00014566"/>
    <w:pPr>
      <w:suppressAutoHyphens/>
    </w:pPr>
    <w:rPr>
      <w:lang w:val="fr-FR" w:eastAsia="fr-FR"/>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rsid w:val="00014566"/>
    <w:pPr>
      <w:suppressAutoHyphens/>
    </w:pPr>
    <w:rPr>
      <w:lang w:val="fr-FR" w:eastAsia="fr-FR"/>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rsid w:val="00014566"/>
    <w:pPr>
      <w:suppressAutoHyphens/>
    </w:pPr>
    <w:rPr>
      <w:lang w:val="fr-FR" w:eastAsia="fr-FR"/>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rsid w:val="00014566"/>
    <w:pPr>
      <w:suppressAutoHyphens/>
    </w:pPr>
    <w:rPr>
      <w:lang w:val="fr-FR" w:eastAsia="fr-F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rsid w:val="00014566"/>
    <w:pPr>
      <w:suppressAutoHyphens/>
    </w:pPr>
    <w:rPr>
      <w:lang w:val="fr-FR" w:eastAsia="fr-FR"/>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rsid w:val="00014566"/>
    <w:pPr>
      <w:suppressAutoHyphens/>
    </w:pPr>
    <w:rPr>
      <w:lang w:val="fr-FR" w:eastAsia="fr-FR"/>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rsid w:val="00014566"/>
    <w:pPr>
      <w:suppressAutoHyphens/>
    </w:pPr>
    <w:rPr>
      <w:lang w:val="fr-FR" w:eastAsia="fr-FR"/>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rsid w:val="00014566"/>
    <w:pPr>
      <w:suppressAutoHyphens/>
    </w:pPr>
    <w:rPr>
      <w:b/>
      <w:bCs/>
      <w:lang w:val="fr-FR" w:eastAsia="fr-FR"/>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rsid w:val="00014566"/>
    <w:pPr>
      <w:suppressAutoHyphens/>
    </w:pPr>
    <w:rPr>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rsid w:val="00014566"/>
    <w:pPr>
      <w:suppressAutoHyphens/>
    </w:pPr>
    <w:rPr>
      <w:lang w:val="fr-FR" w:eastAsia="fr-FR"/>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rsid w:val="00014566"/>
    <w:pPr>
      <w:suppressAutoHyphens/>
    </w:pPr>
    <w:rPr>
      <w:lang w:val="fr-FR" w:eastAsia="fr-FR"/>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rsid w:val="00014566"/>
    <w:pPr>
      <w:suppressAutoHyphens/>
    </w:pPr>
    <w:rPr>
      <w:lang w:val="fr-FR" w:eastAsia="fr-FR"/>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rsid w:val="00014566"/>
    <w:pPr>
      <w:suppressAutoHyphens/>
    </w:pPr>
    <w:rPr>
      <w:lang w:val="fr-FR" w:eastAsia="fr-FR"/>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rsid w:val="00014566"/>
    <w:pPr>
      <w:suppressAutoHyphens/>
    </w:pPr>
    <w:rPr>
      <w:lang w:val="fr-FR" w:eastAsia="fr-F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014566"/>
    <w:pPr>
      <w:ind w:left="240" w:hanging="240"/>
    </w:pPr>
  </w:style>
  <w:style w:type="paragraph" w:styleId="TableofFigures">
    <w:name w:val="table of figures"/>
    <w:basedOn w:val="Normal"/>
    <w:next w:val="Normal"/>
    <w:uiPriority w:val="99"/>
    <w:semiHidden/>
    <w:rsid w:val="00014566"/>
  </w:style>
  <w:style w:type="table" w:styleId="TableProfessional">
    <w:name w:val="Table Professional"/>
    <w:basedOn w:val="TableNormal"/>
    <w:uiPriority w:val="99"/>
    <w:semiHidden/>
    <w:rsid w:val="00014566"/>
    <w:pPr>
      <w:suppressAutoHyphens/>
    </w:pPr>
    <w:rPr>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rsid w:val="00014566"/>
    <w:pPr>
      <w:suppressAutoHyphens/>
    </w:pPr>
    <w:rPr>
      <w:lang w:val="fr-FR" w:eastAsia="fr-FR"/>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rsid w:val="00014566"/>
    <w:pPr>
      <w:suppressAutoHyphens/>
    </w:pPr>
    <w:rPr>
      <w:lang w:val="fr-FR" w:eastAsia="fr-FR"/>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rsid w:val="00014566"/>
    <w:pPr>
      <w:suppressAutoHyphens/>
    </w:pPr>
    <w:rPr>
      <w:lang w:val="fr-FR" w:eastAsia="fr-FR"/>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rsid w:val="00014566"/>
    <w:pPr>
      <w:suppressAutoHyphens/>
    </w:pPr>
    <w:rPr>
      <w:lang w:val="fr-FR" w:eastAsia="fr-FR"/>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rsid w:val="00014566"/>
    <w:pPr>
      <w:suppressAutoHyphens/>
    </w:pPr>
    <w:rPr>
      <w:lang w:val="fr-FR" w:eastAsia="fr-FR"/>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rsid w:val="00014566"/>
    <w:pPr>
      <w:suppressAutoHyphens/>
    </w:pPr>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rsid w:val="00014566"/>
    <w:pPr>
      <w:suppressAutoHyphens/>
    </w:pPr>
    <w:rPr>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rsid w:val="00014566"/>
    <w:pPr>
      <w:suppressAutoHyphens/>
    </w:pPr>
    <w:rPr>
      <w:lang w:val="fr-FR" w:eastAsia="fr-FR"/>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rsid w:val="00014566"/>
    <w:pPr>
      <w:suppressAutoHyphens/>
    </w:pPr>
    <w:rPr>
      <w:lang w:val="fr-FR" w:eastAsia="fr-FR"/>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6">
    <w:name w:val="toc 6"/>
    <w:basedOn w:val="Normal"/>
    <w:next w:val="Normal"/>
    <w:autoRedefine/>
    <w:uiPriority w:val="99"/>
    <w:semiHidden/>
    <w:rsid w:val="00062EE3"/>
    <w:pPr>
      <w:tabs>
        <w:tab w:val="right" w:leader="dot" w:pos="7371"/>
      </w:tabs>
      <w:spacing w:after="60" w:line="240" w:lineRule="exact"/>
      <w:ind w:left="2041" w:right="567" w:hanging="340"/>
    </w:pPr>
    <w:rPr>
      <w:sz w:val="20"/>
    </w:rPr>
  </w:style>
  <w:style w:type="paragraph" w:styleId="TOC7">
    <w:name w:val="toc 7"/>
    <w:basedOn w:val="Normal"/>
    <w:next w:val="Normal"/>
    <w:autoRedefine/>
    <w:uiPriority w:val="99"/>
    <w:semiHidden/>
    <w:rsid w:val="00062EE3"/>
    <w:pPr>
      <w:tabs>
        <w:tab w:val="right" w:leader="dot" w:pos="7371"/>
      </w:tabs>
      <w:spacing w:after="60" w:line="240" w:lineRule="exact"/>
      <w:ind w:left="2381" w:right="567" w:hanging="340"/>
    </w:pPr>
    <w:rPr>
      <w:sz w:val="20"/>
    </w:rPr>
  </w:style>
  <w:style w:type="paragraph" w:styleId="TOC8">
    <w:name w:val="toc 8"/>
    <w:basedOn w:val="Normal"/>
    <w:next w:val="Normal"/>
    <w:autoRedefine/>
    <w:uiPriority w:val="99"/>
    <w:semiHidden/>
    <w:rsid w:val="00014566"/>
    <w:pPr>
      <w:spacing w:after="100"/>
      <w:ind w:left="1680"/>
    </w:pPr>
  </w:style>
  <w:style w:type="paragraph" w:styleId="TOC9">
    <w:name w:val="toc 9"/>
    <w:basedOn w:val="Normal"/>
    <w:next w:val="Normal"/>
    <w:autoRedefine/>
    <w:uiPriority w:val="99"/>
    <w:semiHidden/>
    <w:rsid w:val="00014566"/>
    <w:pPr>
      <w:spacing w:after="100"/>
      <w:ind w:left="1920"/>
    </w:pPr>
  </w:style>
  <w:style w:type="paragraph" w:customStyle="1" w:styleId="OpiHA0">
    <w:name w:val="Opi_H_A"/>
    <w:basedOn w:val="ECHRHeading1"/>
    <w:next w:val="OpiPara"/>
    <w:uiPriority w:val="41"/>
    <w:qFormat/>
    <w:rsid w:val="00062EE3"/>
    <w:pPr>
      <w:tabs>
        <w:tab w:val="clear" w:pos="357"/>
      </w:tabs>
      <w:outlineLvl w:val="1"/>
    </w:pPr>
    <w:rPr>
      <w:b/>
    </w:rPr>
  </w:style>
  <w:style w:type="paragraph" w:customStyle="1" w:styleId="OpiHi">
    <w:name w:val="Opi_H_i"/>
    <w:basedOn w:val="ECHRHeading4"/>
    <w:uiPriority w:val="44"/>
    <w:qFormat/>
    <w:rsid w:val="00062EE3"/>
    <w:pPr>
      <w:ind w:left="1037" w:hanging="357"/>
      <w:outlineLvl w:val="4"/>
    </w:pPr>
    <w:rPr>
      <w:b w:val="0"/>
      <w:i/>
    </w:rPr>
  </w:style>
  <w:style w:type="paragraph" w:customStyle="1" w:styleId="OpiPara">
    <w:name w:val="Opi_Para"/>
    <w:basedOn w:val="ECHRPara"/>
    <w:uiPriority w:val="46"/>
    <w:qFormat/>
    <w:rsid w:val="00062EE3"/>
  </w:style>
  <w:style w:type="paragraph" w:customStyle="1" w:styleId="OpiParaSub">
    <w:name w:val="Opi_Para_Sub"/>
    <w:basedOn w:val="JuParaSub"/>
    <w:uiPriority w:val="47"/>
    <w:qFormat/>
    <w:rsid w:val="00062EE3"/>
  </w:style>
  <w:style w:type="paragraph" w:customStyle="1" w:styleId="OpiQuot">
    <w:name w:val="Opi_Quot"/>
    <w:basedOn w:val="ECHRParaQuote"/>
    <w:uiPriority w:val="48"/>
    <w:qFormat/>
    <w:rsid w:val="00062EE3"/>
  </w:style>
  <w:style w:type="paragraph" w:customStyle="1" w:styleId="OpiQuotSub">
    <w:name w:val="Opi_Quot_Sub"/>
    <w:basedOn w:val="JuQuotSub"/>
    <w:uiPriority w:val="49"/>
    <w:qFormat/>
    <w:rsid w:val="00062EE3"/>
  </w:style>
  <w:style w:type="paragraph" w:customStyle="1" w:styleId="OpiTranslation">
    <w:name w:val="Opi_Translation"/>
    <w:basedOn w:val="Normal"/>
    <w:next w:val="OpiPara"/>
    <w:uiPriority w:val="40"/>
    <w:qFormat/>
    <w:rsid w:val="00062EE3"/>
    <w:pPr>
      <w:jc w:val="center"/>
      <w:outlineLvl w:val="0"/>
    </w:pPr>
    <w:rPr>
      <w:i/>
    </w:rPr>
  </w:style>
  <w:style w:type="character" w:customStyle="1" w:styleId="ECHRParaChar">
    <w:name w:val="ECHR_Para Char"/>
    <w:aliases w:val="Ju_Para Char"/>
    <w:link w:val="ECHRPara"/>
    <w:uiPriority w:val="12"/>
    <w:rsid w:val="000C68C6"/>
    <w:rPr>
      <w:rFonts w:eastAsiaTheme="minorEastAsia"/>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1401400">
      <w:bodyDiv w:val="1"/>
      <w:marLeft w:val="0"/>
      <w:marRight w:val="0"/>
      <w:marTop w:val="0"/>
      <w:marBottom w:val="0"/>
      <w:divBdr>
        <w:top w:val="none" w:sz="0" w:space="0" w:color="auto"/>
        <w:left w:val="none" w:sz="0" w:space="0" w:color="auto"/>
        <w:bottom w:val="none" w:sz="0" w:space="0" w:color="auto"/>
        <w:right w:val="none" w:sz="0" w:space="0" w:color="auto"/>
      </w:divBdr>
    </w:div>
    <w:div w:id="1645431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customXml" Target="../customXml/item4.xml"/><Relationship Id="rId2" Type="http://schemas.openxmlformats.org/officeDocument/2006/relationships/numbering" Target="numbering.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2.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ECHR_Theme_Judgments_Decisions_Reports">
  <a:themeElements>
    <a:clrScheme name="ECHR_grey">
      <a:dk1>
        <a:sysClr val="windowText" lastClr="000000"/>
      </a:dk1>
      <a:lt1>
        <a:srgbClr val="0072BC"/>
      </a:lt1>
      <a:dk2>
        <a:srgbClr val="C6C6C6"/>
      </a:dk2>
      <a:lt2>
        <a:srgbClr val="F8F8F8"/>
      </a:lt2>
      <a:accent1>
        <a:srgbClr val="0072BC"/>
      </a:accent1>
      <a:accent2>
        <a:srgbClr val="C00000"/>
      </a:accent2>
      <a:accent3>
        <a:srgbClr val="5F5F5F"/>
      </a:accent3>
      <a:accent4>
        <a:srgbClr val="969696"/>
      </a:accent4>
      <a:accent5>
        <a:srgbClr val="5F5F5F"/>
      </a:accent5>
      <a:accent6>
        <a:srgbClr val="4D4D4D"/>
      </a:accent6>
      <a:hlink>
        <a:srgbClr val="0072BC"/>
      </a:hlink>
      <a:folHlink>
        <a:srgbClr val="7030A0"/>
      </a:folHlink>
    </a:clrScheme>
    <a:fontScheme name="ECHR_Judgments_Reports_Decisions">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8EB02BDB9E204AB350EDD385B68E10" ma:contentTypeVersion="0" ma:contentTypeDescription="Create a new document." ma:contentTypeScope="" ma:versionID="4c0f801ee557d5c8fba2c83aceb7a3a2">
  <xsd:schema xmlns:xsd="http://www.w3.org/2001/XMLSchema" xmlns:xs="http://www.w3.org/2001/XMLSchema" xmlns:p="http://schemas.microsoft.com/office/2006/metadata/properties" targetNamespace="http://schemas.microsoft.com/office/2006/metadata/properties" ma:root="true" ma:fieldsID="66a9e0779a85d62bb2248c31b91edb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7A2743C-4853-4BF4-8E16-74D33D3F6EC3}"/>
</file>

<file path=customXml/itemProps2.xml><?xml version="1.0" encoding="utf-8"?>
<ds:datastoreItem xmlns:ds="http://schemas.openxmlformats.org/officeDocument/2006/customXml" ds:itemID="{B4BEEAC9-2B7F-4D3B-86F0-EEA4CC985236}"/>
</file>

<file path=customXml/itemProps3.xml><?xml version="1.0" encoding="utf-8"?>
<ds:datastoreItem xmlns:ds="http://schemas.openxmlformats.org/officeDocument/2006/customXml" ds:itemID="{DA7BA5E8-755B-4F7E-AA3F-78120A618191}"/>
</file>

<file path=customXml/itemProps4.xml><?xml version="1.0" encoding="utf-8"?>
<ds:datastoreItem xmlns:ds="http://schemas.openxmlformats.org/officeDocument/2006/customXml" ds:itemID="{607569F4-F24F-469F-9FC2-A6497ACD9A3E}"/>
</file>

<file path=docProps/app.xml><?xml version="1.0" encoding="utf-8"?>
<Properties xmlns="http://schemas.openxmlformats.org/officeDocument/2006/extended-properties" xmlns:vt="http://schemas.openxmlformats.org/officeDocument/2006/docPropsVTypes">
  <Template>Normal.dotm</Template>
  <TotalTime>0</TotalTime>
  <Pages>1</Pages>
  <Words>2595</Words>
  <Characters>14792</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ECHR</vt:lpstr>
    </vt:vector>
  </TitlesOfParts>
  <Manager/>
  <Company/>
  <LinksUpToDate>false</LinksUpToDate>
  <CharactersWithSpaces>17353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ECHR</dc:title>
  <dc:subject>DJ</dc:subject>
  <dc:creator/>
  <cp:lastModifiedBy/>
  <cp:revision>1</cp:revision>
  <dcterms:created xsi:type="dcterms:W3CDTF">2019-11-21T09:57:00Z</dcterms:created>
  <dcterms:modified xsi:type="dcterms:W3CDTF">2019-11-21T09:57:00Z</dcterms:modified>
  <cp:category>ECHR Template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stLanguage">
    <vt:i4>2057</vt:i4>
  </property>
  <property fmtid="{D5CDD505-2E9C-101B-9397-08002B2CF9AE}" pid="3" name="RegisteredNo">
    <vt:lpwstr>2437/08</vt:lpwstr>
  </property>
  <property fmtid="{D5CDD505-2E9C-101B-9397-08002B2CF9AE}" pid="4" name="CASEID">
    <vt:lpwstr>486575</vt:lpwstr>
  </property>
  <property fmtid="{D5CDD505-2E9C-101B-9397-08002B2CF9AE}" pid="5" name="ContentTypeId">
    <vt:lpwstr>0x010100558EB02BDB9E204AB350EDD385B68E10</vt:lpwstr>
  </property>
</Properties>
</file>